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91891" w14:textId="77777777" w:rsidR="007D6D0C" w:rsidRPr="002F02FE" w:rsidRDefault="007D6D0C" w:rsidP="007D6D0C">
      <w:pPr>
        <w:pStyle w:val="1"/>
        <w:spacing w:before="0"/>
        <w:ind w:left="567" w:hanging="567"/>
        <w:jc w:val="right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</w:pPr>
      <w:r w:rsidRPr="002F02FE">
        <w:rPr>
          <w:rFonts w:ascii="Times New Roman" w:hAnsi="Times New Roman" w:cs="Times New Roman"/>
          <w:iCs/>
          <w:color w:val="auto"/>
          <w:sz w:val="28"/>
          <w:szCs w:val="28"/>
        </w:rPr>
        <w:t>«</w:t>
      </w:r>
      <w:proofErr w:type="spellStart"/>
      <w:r w:rsidRPr="002F02FE">
        <w:rPr>
          <w:rFonts w:ascii="Times New Roman" w:hAnsi="Times New Roman" w:cs="Times New Roman"/>
          <w:iCs/>
          <w:color w:val="auto"/>
          <w:sz w:val="28"/>
          <w:szCs w:val="28"/>
        </w:rPr>
        <w:t>QazExpoCongress</w:t>
      </w:r>
      <w:proofErr w:type="spellEnd"/>
      <w:r w:rsidRPr="002F02F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» </w:t>
      </w:r>
      <w:r w:rsidRPr="002F02FE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ҰК</w:t>
      </w:r>
      <w:r w:rsidRPr="002F02F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» </w:t>
      </w:r>
      <w:r w:rsidRPr="002F02FE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АҚ </w:t>
      </w:r>
    </w:p>
    <w:p w14:paraId="4BF018BD" w14:textId="77777777" w:rsidR="007D6D0C" w:rsidRPr="002F02FE" w:rsidRDefault="007D6D0C" w:rsidP="007D6D0C">
      <w:pPr>
        <w:pStyle w:val="1"/>
        <w:spacing w:before="0"/>
        <w:ind w:left="567" w:hanging="567"/>
        <w:jc w:val="right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Б</w:t>
      </w:r>
      <w:r w:rsidRPr="002F02F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асқармасының</w:t>
      </w:r>
      <w:proofErr w:type="spellEnd"/>
      <w:r w:rsidRPr="002F02F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</w:t>
      </w:r>
    </w:p>
    <w:p w14:paraId="54F1EEFD" w14:textId="77777777" w:rsidR="007D6D0C" w:rsidRPr="002F02FE" w:rsidRDefault="007D6D0C" w:rsidP="007D6D0C">
      <w:pPr>
        <w:pStyle w:val="1"/>
        <w:spacing w:before="0"/>
        <w:ind w:left="567" w:hanging="567"/>
        <w:jc w:val="right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</w:pPr>
      <w:r w:rsidRPr="002F02F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«____» ________________202_ </w:t>
      </w:r>
      <w:proofErr w:type="spellStart"/>
      <w:r w:rsidRPr="002F02F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жылғы</w:t>
      </w:r>
      <w:proofErr w:type="spellEnd"/>
      <w:r w:rsidRPr="002F02F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</w:t>
      </w:r>
    </w:p>
    <w:p w14:paraId="606A4211" w14:textId="77777777" w:rsidR="007D6D0C" w:rsidRPr="002F02FE" w:rsidRDefault="007D6D0C" w:rsidP="007D6D0C">
      <w:pPr>
        <w:pStyle w:val="1"/>
        <w:spacing w:before="0"/>
        <w:ind w:left="567" w:hanging="567"/>
        <w:jc w:val="right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</w:pPr>
      <w:r w:rsidRPr="002F02F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                                      </w:t>
      </w:r>
      <w:proofErr w:type="spellStart"/>
      <w:r w:rsidRPr="007D6D0C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шешіміне</w:t>
      </w:r>
      <w:proofErr w:type="spellEnd"/>
      <w:r w:rsidRPr="007D6D0C">
        <w:rPr>
          <w:rFonts w:ascii="Times New Roman" w:hAnsi="Times New Roman" w:cs="Times New Roman"/>
          <w:b/>
          <w:iCs/>
          <w:color w:val="auto"/>
          <w:sz w:val="28"/>
          <w:szCs w:val="28"/>
          <w:lang w:val="kk-KZ"/>
        </w:rPr>
        <w:t xml:space="preserve"> </w:t>
      </w:r>
      <w:r w:rsidRPr="007D6D0C">
        <w:rPr>
          <w:rFonts w:ascii="Times New Roman" w:hAnsi="Times New Roman" w:cs="Times New Roman"/>
          <w:iCs/>
          <w:color w:val="auto"/>
          <w:sz w:val="28"/>
          <w:szCs w:val="28"/>
          <w:lang w:val="kk-KZ"/>
        </w:rPr>
        <w:t>№</w:t>
      </w:r>
      <w:r w:rsidRPr="007D6D0C">
        <w:rPr>
          <w:rFonts w:ascii="Times New Roman" w:hAnsi="Times New Roman" w:cs="Times New Roman"/>
          <w:b/>
          <w:iCs/>
          <w:color w:val="auto"/>
          <w:sz w:val="28"/>
          <w:szCs w:val="28"/>
          <w:lang w:val="kk-KZ"/>
        </w:rPr>
        <w:t xml:space="preserve"> </w:t>
      </w:r>
      <w:r w:rsidRPr="002F02FE">
        <w:rPr>
          <w:rFonts w:ascii="Times New Roman" w:hAnsi="Times New Roman" w:cs="Times New Roman"/>
          <w:b/>
          <w:iCs/>
          <w:sz w:val="28"/>
          <w:szCs w:val="28"/>
          <w:lang w:val="ru-RU"/>
        </w:rPr>
        <w:t>___</w:t>
      </w:r>
      <w:proofErr w:type="spellStart"/>
      <w:r w:rsidRPr="002F02F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қосымша</w:t>
      </w:r>
      <w:proofErr w:type="spellEnd"/>
    </w:p>
    <w:p w14:paraId="67755E11" w14:textId="77777777" w:rsidR="007D6D0C" w:rsidRPr="002F02FE" w:rsidRDefault="007D6D0C" w:rsidP="007D6D0C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</w:p>
    <w:p w14:paraId="1CA68E7D" w14:textId="77777777" w:rsidR="007D6D0C" w:rsidRPr="002F02FE" w:rsidRDefault="007D6D0C" w:rsidP="007D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3CB522DC" w14:textId="77777777" w:rsidR="007D6D0C" w:rsidRPr="002F02FE" w:rsidRDefault="007D6D0C" w:rsidP="007D6D0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2F0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«</w:t>
      </w:r>
      <w:proofErr w:type="spellStart"/>
      <w:r w:rsidRPr="002F0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QazExpoCongress</w:t>
      </w:r>
      <w:proofErr w:type="spellEnd"/>
      <w:r w:rsidRPr="002F0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» ҰК»  АҚ </w:t>
      </w:r>
      <w:proofErr w:type="spellStart"/>
      <w:r w:rsidRPr="002F0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паркингін</w:t>
      </w:r>
      <w:proofErr w:type="spellEnd"/>
      <w:r w:rsidRPr="002F0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пайдалану</w:t>
      </w:r>
      <w:proofErr w:type="spellEnd"/>
      <w:r w:rsidRPr="002F0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ережесі</w:t>
      </w:r>
      <w:proofErr w:type="spellEnd"/>
    </w:p>
    <w:p w14:paraId="0C071669" w14:textId="77777777" w:rsidR="007D6D0C" w:rsidRPr="002F02FE" w:rsidRDefault="007D6D0C" w:rsidP="007D6D0C">
      <w:pPr>
        <w:spacing w:line="12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14:paraId="06F36E60" w14:textId="77777777" w:rsidR="007D6D0C" w:rsidRPr="002F02FE" w:rsidRDefault="007D6D0C" w:rsidP="007D6D0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02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ережелер </w:t>
      </w:r>
    </w:p>
    <w:p w14:paraId="43DDFD24" w14:textId="77777777" w:rsidR="007D6D0C" w:rsidRPr="002F02FE" w:rsidRDefault="007D6D0C" w:rsidP="007D6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645249F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Осы паркингті пайдалану қағидалары (бұдан әрі – Қағидалар) Қазақстан Республикасының қолданыстағы заңнамасына сәйкес әзірленді және паркингті пайдаланудың тәртібі мен шарттарын, сондай-ақ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QazExpoCongress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ҰК» АҚ мен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паркингті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пайдаланушылардың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құқықтары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міндеттерін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белгілейді</w:t>
      </w:r>
      <w:commentRangeStart w:id="1"/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59AB9BC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Осы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Қағидаларда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мынадай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ұғымдар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пайдаланылады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6BD43032" w14:textId="77777777" w:rsidR="007D6D0C" w:rsidRPr="002F02FE" w:rsidRDefault="007D6D0C" w:rsidP="007D6D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Жалға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аркингтің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иесі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табылатын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QazExpoCongress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ҰК» АҚ;</w:t>
      </w:r>
    </w:p>
    <w:p w14:paraId="4649D245" w14:textId="77777777" w:rsidR="007D6D0C" w:rsidRPr="002F02FE" w:rsidRDefault="007D6D0C" w:rsidP="007D6D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Паркинг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Астана </w:t>
      </w:r>
      <w:proofErr w:type="spellStart"/>
      <w:r w:rsidRPr="002F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қаласы</w:t>
      </w:r>
      <w:proofErr w:type="spellEnd"/>
      <w:r w:rsidRPr="002F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2F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Мәңгілік</w:t>
      </w:r>
      <w:proofErr w:type="spellEnd"/>
      <w:r w:rsidRPr="002F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Ел </w:t>
      </w:r>
      <w:proofErr w:type="spellStart"/>
      <w:r w:rsidRPr="002F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даңғылы</w:t>
      </w:r>
      <w:proofErr w:type="spellEnd"/>
      <w:r w:rsidRPr="002F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, 55 (</w:t>
      </w:r>
      <w:proofErr w:type="spellStart"/>
      <w:r w:rsidRPr="002F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елу</w:t>
      </w:r>
      <w:proofErr w:type="spellEnd"/>
      <w:r w:rsidRPr="002F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бес)- </w:t>
      </w:r>
      <w:proofErr w:type="spellStart"/>
      <w:r w:rsidRPr="002F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ғимарат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ы</w:t>
      </w:r>
      <w:proofErr w:type="spellEnd"/>
      <w:r w:rsidRPr="002F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мекенжайында</w:t>
      </w:r>
      <w:proofErr w:type="spellEnd"/>
      <w:r w:rsidRPr="002F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орналасқан</w:t>
      </w:r>
      <w:proofErr w:type="spellEnd"/>
      <w:r w:rsidRPr="002F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автоматтандырылған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тұрақ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жүйесімен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жабдықталған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құралдарының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тұрағына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арналған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жерасты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паркингі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2F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</w:p>
    <w:p w14:paraId="19146E52" w14:textId="77777777" w:rsidR="007D6D0C" w:rsidRPr="002F02FE" w:rsidRDefault="007D6D0C" w:rsidP="007D6D0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ұрақ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орны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пайдаланушының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құралдарын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қоюға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арналған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паркингтегі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Pr="002F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;</w:t>
      </w:r>
    </w:p>
    <w:p w14:paraId="3FD8FDAE" w14:textId="77777777" w:rsidR="007D6D0C" w:rsidRPr="002F02FE" w:rsidRDefault="007D6D0C" w:rsidP="007D6D0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Пайдаланушы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меншіктенуші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құралының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заңды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иелік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ететін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құралының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жүргізушісі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құралдарын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тұраққа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енгізуді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орналастыруды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асыратын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сондай-ақ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болған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жеке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тұлғалар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0288D767" w14:textId="77777777" w:rsidR="007D6D0C" w:rsidRPr="002F02FE" w:rsidRDefault="007D6D0C" w:rsidP="007D6D0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Пайдаланушылардың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біржолғы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санаты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қысқа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мерзімді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кезеңге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паркинг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тұру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орналастыруды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асыратын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пайдаланушылар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оферта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шартының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талаптарын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сағат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тәулік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56BC4011" w14:textId="77777777" w:rsidR="007D6D0C" w:rsidRPr="002F02FE" w:rsidRDefault="007D6D0C" w:rsidP="007D6D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Пайдаланушылардың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тұрақты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жалға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шарты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оферта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шарты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негізінде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ұзақ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мерзімді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кезеңге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ай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көп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паркинг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тұру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орналастыруды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асыратын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пайдаланушылар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EF2A81E" w14:textId="77777777" w:rsidR="007D6D0C" w:rsidRPr="002F02FE" w:rsidRDefault="007D6D0C" w:rsidP="007D6D0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Жалдау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тұрақты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пайдаланушылар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санаты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арасында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жасалған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тараптардың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паркингте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тұрақ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орнын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жалға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құқықтары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міндеттерін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анықтайтын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шарт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</w:p>
    <w:p w14:paraId="0E284C83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Қағидалар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табылады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әрбір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пайдаланушыға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қатысты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кіру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сәтінен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паркингтен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шығу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сәтіне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дейін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қолданылады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3B0BE740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Паркинг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кіру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фактісі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пайдаланушының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осы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Қағидалардың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шарттарымен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келісуін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растайды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commentRangeEnd w:id="1"/>
      <w:r w:rsidRPr="002F02FE">
        <w:rPr>
          <w:rStyle w:val="a4"/>
          <w:sz w:val="28"/>
          <w:szCs w:val="28"/>
          <w:highlight w:val="yellow"/>
        </w:rPr>
        <w:commentReference w:id="1"/>
      </w:r>
    </w:p>
    <w:p w14:paraId="52B35BCA" w14:textId="77777777" w:rsidR="007D6D0C" w:rsidRPr="002F02FE" w:rsidRDefault="007D6D0C" w:rsidP="007D6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5D5308B" w14:textId="77777777" w:rsidR="007D6D0C" w:rsidRPr="002F02FE" w:rsidRDefault="007D6D0C" w:rsidP="007D6D0C">
      <w:pPr>
        <w:pStyle w:val="2"/>
        <w:numPr>
          <w:ilvl w:val="0"/>
          <w:numId w:val="2"/>
        </w:numPr>
        <w:rPr>
          <w:sz w:val="28"/>
          <w:szCs w:val="28"/>
        </w:rPr>
      </w:pPr>
      <w:proofErr w:type="spellStart"/>
      <w:r w:rsidRPr="002F02FE">
        <w:rPr>
          <w:sz w:val="28"/>
          <w:szCs w:val="28"/>
        </w:rPr>
        <w:t>Пайдаланушының</w:t>
      </w:r>
      <w:proofErr w:type="spellEnd"/>
      <w:r w:rsidRPr="002F02F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</w:t>
      </w:r>
      <w:proofErr w:type="spellStart"/>
      <w:r w:rsidRPr="002F02FE">
        <w:rPr>
          <w:sz w:val="28"/>
          <w:szCs w:val="28"/>
        </w:rPr>
        <w:t>індеттері</w:t>
      </w:r>
      <w:proofErr w:type="spellEnd"/>
      <w:r>
        <w:rPr>
          <w:sz w:val="28"/>
          <w:szCs w:val="28"/>
          <w:lang w:val="kk-KZ"/>
        </w:rPr>
        <w:t xml:space="preserve">    </w:t>
      </w:r>
    </w:p>
    <w:p w14:paraId="1EB42E5F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77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Жол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қозғалысы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ережелерін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сақтай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отырып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паркинг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тиісінше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кіру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шығу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топтары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арқылы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ғана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кіруге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шығуға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63BF3E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Паркинг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ішінде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км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сағ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аспайтын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жылдамдықпен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жақын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жарық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шамдары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жүруге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Паркингтегі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қозғалыс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жол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белгілеріне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белгіленген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жол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белгілеріне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реттеушінің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тұрақ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қызметкерлерінің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нұсқауларына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асырылады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Барлық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жағдайларда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паркинг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жаяу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жүргіншілер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арбалар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мүгедектер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арбалары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басымдыққа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AAC60FF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Паркинг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оған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іргелес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аумақта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тазалықты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сондай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заңнамасында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белгіленген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санитарлық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өртке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қарсы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қағидаларды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басқа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міндетті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нормаларды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сақтау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құралдарын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тұраққа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белгіленген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бөлу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тұрақ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желілері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шегінде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ғана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рұқсат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етіледі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72120EAC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Жалға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қызметкерлерінің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талаптарын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толығымен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сөзсіз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дереу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орында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39C9C157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Паркингтен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шықпас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бұрын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төлемді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уақтылы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толық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көлемде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асыру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0C0AECF7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Осы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Қағидалар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бұзылған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жағдайда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(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бес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күні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1A3188B7" w14:textId="77777777" w:rsidR="007D6D0C" w:rsidRPr="002F02FE" w:rsidRDefault="007D6D0C" w:rsidP="007D6D0C">
      <w:pPr>
        <w:pStyle w:val="a3"/>
        <w:tabs>
          <w:tab w:val="left" w:pos="709"/>
          <w:tab w:val="left" w:pos="993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пайдаланушылардың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реттік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санаты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АЕК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мөлшерінде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айыппұл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795684CE" w14:textId="77777777" w:rsidR="007D6D0C" w:rsidRPr="002F02FE" w:rsidRDefault="007D6D0C" w:rsidP="007D6D0C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тұрақты санат үшін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жалдау шартының жалпы сомасының 10%, сондай-ақ бұзушылық жойылғанға дейінгі әрбір күнтізбелік күн үшін жалдау шартының жалпы сомасының 0,5% мөлшерінде өсімпұл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төлеуге. </w:t>
      </w:r>
    </w:p>
    <w:p w14:paraId="0731D91C" w14:textId="77777777" w:rsidR="007D6D0C" w:rsidRPr="002F02FE" w:rsidRDefault="007D6D0C" w:rsidP="007D6D0C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Бұзушылық анықталған жағдайда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алға беруші фотофиксациямен акт жасайды.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1E62CDD5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6D0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Жалға берушінің мүлкіне немесе жабдығына залал келтірілген жағдайда, пайдаланушы талап алынған күннен бастап 5 (бес) жұмыс күні ішінде залалды өтеуге міндетті. Зиян мөлшері бүлінген мүлікті қалпына келтіру құнын есептеу негізінде анықталады. Қажет болған жағдайда келтірілген залалдың мөлшерін тиісті лицензиясы бар тәуелсіз бағалаушы бағалай алады.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Бұл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ретте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бағалаушының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қызметтерін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пайдаланушы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төлейді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F7F22DE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Паркинг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болған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уақытта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үшінші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тұлғалардың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мүлкіне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материалдық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зиян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келтірілген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жағдайда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айдаланушы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болған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жағдай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дереу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хабарлауға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қалыптасқан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мән-жайлар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реттелген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сәтке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дейін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ешқандай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жағдайда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паркинг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шықпауға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міндетті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B698B38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паркинг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орналастыру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сақтау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шартын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жасасу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табылмайды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Жалға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құралдарының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құралының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бүлінуі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ұрлануы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паркинг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орналасқан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қалдырылған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өзге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мүліктің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сақталуына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жауапты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болмайды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7B0EC4BF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Паркинг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жол-көлік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оқиғасы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туындаған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кезде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жауапты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болмайды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09ED8B0" w14:textId="77777777" w:rsidR="007D6D0C" w:rsidRPr="002F02FE" w:rsidRDefault="007D6D0C" w:rsidP="007D6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8EB90CE" w14:textId="77777777" w:rsidR="007D6D0C" w:rsidRPr="002F02FE" w:rsidRDefault="007D6D0C" w:rsidP="007D6D0C">
      <w:pPr>
        <w:pStyle w:val="2"/>
        <w:numPr>
          <w:ilvl w:val="0"/>
          <w:numId w:val="2"/>
        </w:numPr>
        <w:ind w:left="360"/>
        <w:rPr>
          <w:sz w:val="28"/>
          <w:szCs w:val="28"/>
        </w:rPr>
      </w:pPr>
      <w:proofErr w:type="spellStart"/>
      <w:r w:rsidRPr="002F02FE">
        <w:rPr>
          <w:sz w:val="28"/>
          <w:szCs w:val="28"/>
          <w:lang w:val="ru-RU"/>
        </w:rPr>
        <w:t>Жалға</w:t>
      </w:r>
      <w:proofErr w:type="spellEnd"/>
      <w:r w:rsidRPr="002F02FE">
        <w:rPr>
          <w:sz w:val="28"/>
          <w:szCs w:val="28"/>
          <w:lang w:val="ru-RU"/>
        </w:rPr>
        <w:t xml:space="preserve"> </w:t>
      </w:r>
      <w:proofErr w:type="spellStart"/>
      <w:r w:rsidRPr="002F02FE">
        <w:rPr>
          <w:sz w:val="28"/>
          <w:szCs w:val="28"/>
          <w:lang w:val="ru-RU"/>
        </w:rPr>
        <w:t>берушінің</w:t>
      </w:r>
      <w:proofErr w:type="spellEnd"/>
      <w:r w:rsidRPr="002F02FE">
        <w:rPr>
          <w:sz w:val="28"/>
          <w:szCs w:val="28"/>
          <w:lang w:val="ru-RU"/>
        </w:rPr>
        <w:t xml:space="preserve"> </w:t>
      </w:r>
      <w:proofErr w:type="spellStart"/>
      <w:r w:rsidRPr="002F02FE">
        <w:rPr>
          <w:sz w:val="28"/>
          <w:szCs w:val="28"/>
          <w:lang w:val="ru-RU"/>
        </w:rPr>
        <w:t>құқықтары</w:t>
      </w:r>
      <w:proofErr w:type="spellEnd"/>
      <w:r w:rsidRPr="002F02FE">
        <w:rPr>
          <w:sz w:val="28"/>
          <w:szCs w:val="28"/>
          <w:lang w:val="ru-RU"/>
        </w:rPr>
        <w:t xml:space="preserve"> мен </w:t>
      </w:r>
      <w:proofErr w:type="spellStart"/>
      <w:r w:rsidRPr="002F02FE">
        <w:rPr>
          <w:sz w:val="28"/>
          <w:szCs w:val="28"/>
          <w:lang w:val="ru-RU"/>
        </w:rPr>
        <w:t>міндеттері</w:t>
      </w:r>
      <w:proofErr w:type="spellEnd"/>
      <w:r>
        <w:rPr>
          <w:sz w:val="28"/>
          <w:szCs w:val="28"/>
          <w:lang w:val="ru-RU"/>
        </w:rPr>
        <w:t xml:space="preserve">      </w:t>
      </w:r>
    </w:p>
    <w:p w14:paraId="301F29DF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Пайдаланушыдан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осы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ағидалар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қабылданған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міндеттемелердің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орындалуын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талап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69618B1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құралына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паркинг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кіруге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тыйым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осы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Қағидалардың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шарттары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бұзылған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жағдайда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оны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жосықсыз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пайдаланушылар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тізіміне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енгізу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кіруге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тыйым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салу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373E1F7C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Тұрақ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уақытын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төлемегені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пайдаланушыдан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бекітілген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тарифтерге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айыппұл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өндіріп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алуға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құқылы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54AA213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Осы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Қағидаларды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бұзғаны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пайдаланушыдан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осы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Қағидалардың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10, 11-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тармақтарына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айыппұл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өндіріп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алуға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құқылы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B389E6C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құралының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паркинг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рұқсатсыз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кезінде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жалға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сырттай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тексеру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эвакуациялау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құқығын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өзіне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қалдырады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622882D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Паркинг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кіру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санитарлық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жөндеу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өзге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шараларды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жүргізу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тоқтатылуы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мүмкін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5CEF267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бүлі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гені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ұрла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ғаны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сондай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ғы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заттардың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сақталуы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жауап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бермейді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F361AE7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Осы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ағидаларды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бұзу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қолданыстағы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заңнамасында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көзделген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шараларды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қолдануы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негіз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табылады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9B306AE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Паркинг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ұрлық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әкімшілік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бұзушылықтар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жасалған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жағдайда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күзет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қызметкерлері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қолданыстағы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заңнамасында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көзделген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барлық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қажетті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шараларды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қолдануға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құқық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қорғау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органдарына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ұрлық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әкімшілік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бұзушылық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жасалған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факті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хабарлауға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құқылы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14173B" w14:textId="77777777" w:rsidR="007D6D0C" w:rsidRPr="002F02FE" w:rsidRDefault="007D6D0C" w:rsidP="007D6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CBF9FE" w14:textId="77777777" w:rsidR="007D6D0C" w:rsidRPr="002F02FE" w:rsidRDefault="007D6D0C" w:rsidP="007D6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424AA7" w14:textId="77777777" w:rsidR="007D6D0C" w:rsidRPr="002F02FE" w:rsidRDefault="007D6D0C" w:rsidP="007D6D0C">
      <w:pPr>
        <w:pStyle w:val="2"/>
        <w:numPr>
          <w:ilvl w:val="0"/>
          <w:numId w:val="2"/>
        </w:numPr>
        <w:ind w:left="360"/>
        <w:rPr>
          <w:sz w:val="28"/>
          <w:szCs w:val="28"/>
        </w:rPr>
      </w:pPr>
      <w:r w:rsidRPr="002F02FE">
        <w:rPr>
          <w:sz w:val="28"/>
          <w:szCs w:val="28"/>
          <w:lang w:val="ru-RU"/>
        </w:rPr>
        <w:t>Паркинг</w:t>
      </w:r>
      <w:r w:rsidRPr="002F02FE">
        <w:rPr>
          <w:sz w:val="28"/>
          <w:szCs w:val="28"/>
        </w:rPr>
        <w:t xml:space="preserve"> </w:t>
      </w:r>
      <w:proofErr w:type="spellStart"/>
      <w:r w:rsidRPr="002F02FE">
        <w:rPr>
          <w:sz w:val="28"/>
          <w:szCs w:val="28"/>
          <w:lang w:val="ru-RU"/>
        </w:rPr>
        <w:t>аумағында</w:t>
      </w:r>
      <w:proofErr w:type="spellEnd"/>
      <w:r w:rsidRPr="002F02FE">
        <w:rPr>
          <w:sz w:val="28"/>
          <w:szCs w:val="28"/>
        </w:rPr>
        <w:t xml:space="preserve"> </w:t>
      </w:r>
      <w:proofErr w:type="spellStart"/>
      <w:r w:rsidRPr="002F02FE">
        <w:rPr>
          <w:sz w:val="28"/>
          <w:szCs w:val="28"/>
          <w:lang w:val="ru-RU"/>
        </w:rPr>
        <w:t>тыйым</w:t>
      </w:r>
      <w:proofErr w:type="spellEnd"/>
      <w:r w:rsidRPr="002F02FE">
        <w:rPr>
          <w:sz w:val="28"/>
          <w:szCs w:val="28"/>
        </w:rPr>
        <w:t xml:space="preserve"> </w:t>
      </w:r>
      <w:proofErr w:type="spellStart"/>
      <w:r w:rsidRPr="002F02FE">
        <w:rPr>
          <w:sz w:val="28"/>
          <w:szCs w:val="28"/>
          <w:lang w:val="ru-RU"/>
        </w:rPr>
        <w:t>салынған</w:t>
      </w:r>
      <w:proofErr w:type="spellEnd"/>
      <w:r w:rsidRPr="002F02FE">
        <w:rPr>
          <w:sz w:val="28"/>
          <w:szCs w:val="28"/>
        </w:rPr>
        <w:t xml:space="preserve"> </w:t>
      </w:r>
      <w:r w:rsidRPr="002F02FE">
        <w:rPr>
          <w:sz w:val="28"/>
          <w:szCs w:val="28"/>
          <w:lang w:val="kk-KZ"/>
        </w:rPr>
        <w:t>іс-</w:t>
      </w:r>
      <w:proofErr w:type="spellStart"/>
      <w:r w:rsidRPr="002F02FE">
        <w:rPr>
          <w:sz w:val="28"/>
          <w:szCs w:val="28"/>
          <w:lang w:val="ru-RU"/>
        </w:rPr>
        <w:t>әрекеттер</w:t>
      </w:r>
      <w:proofErr w:type="spellEnd"/>
    </w:p>
    <w:p w14:paraId="7F36F082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E">
        <w:rPr>
          <w:rFonts w:ascii="Times New Roman" w:hAnsi="Times New Roman"/>
          <w:sz w:val="28"/>
          <w:szCs w:val="28"/>
          <w:lang w:val="ru-RU"/>
        </w:rPr>
        <w:t>Паркинг</w:t>
      </w:r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аумағына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мынадай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жағдайларда</w:t>
      </w:r>
      <w:proofErr w:type="spellEnd"/>
      <w:r w:rsidRPr="002F02FE">
        <w:rPr>
          <w:rFonts w:ascii="Times New Roman" w:hAnsi="Times New Roman"/>
          <w:sz w:val="28"/>
          <w:szCs w:val="28"/>
        </w:rPr>
        <w:t>:</w:t>
      </w:r>
    </w:p>
    <w:p w14:paraId="79B5B790" w14:textId="77777777" w:rsidR="007D6D0C" w:rsidRPr="002F02FE" w:rsidRDefault="007D6D0C" w:rsidP="007D6D0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Егер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құралы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авариялық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жағдайда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болса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жанар</w:t>
      </w:r>
      <w:proofErr w:type="spellEnd"/>
      <w:r w:rsidRPr="002F02FE">
        <w:rPr>
          <w:rFonts w:ascii="Times New Roman" w:hAnsi="Times New Roman"/>
          <w:sz w:val="28"/>
          <w:szCs w:val="28"/>
        </w:rPr>
        <w:t>-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жағармай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материалдарының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салқындатқыш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сұйықтықтың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r w:rsidRPr="002F02FE">
        <w:rPr>
          <w:rFonts w:ascii="Times New Roman" w:hAnsi="Times New Roman"/>
          <w:sz w:val="28"/>
          <w:szCs w:val="28"/>
          <w:lang w:val="ru-RU"/>
        </w:rPr>
        <w:t>т</w:t>
      </w:r>
      <w:r w:rsidRPr="002F02FE">
        <w:rPr>
          <w:rFonts w:ascii="Times New Roman" w:hAnsi="Times New Roman"/>
          <w:sz w:val="28"/>
          <w:szCs w:val="28"/>
        </w:rPr>
        <w:t>.</w:t>
      </w:r>
      <w:r w:rsidRPr="002F02FE">
        <w:rPr>
          <w:rFonts w:ascii="Times New Roman" w:hAnsi="Times New Roman"/>
          <w:sz w:val="28"/>
          <w:szCs w:val="28"/>
          <w:lang w:val="ru-RU"/>
        </w:rPr>
        <w:t>б</w:t>
      </w:r>
      <w:r w:rsidRPr="002F02FE">
        <w:rPr>
          <w:rFonts w:ascii="Times New Roman" w:hAnsi="Times New Roman"/>
          <w:sz w:val="28"/>
          <w:szCs w:val="28"/>
        </w:rPr>
        <w:t xml:space="preserve">. </w:t>
      </w:r>
      <w:r w:rsidRPr="002F02FE">
        <w:rPr>
          <w:rFonts w:ascii="Times New Roman" w:hAnsi="Times New Roman"/>
          <w:sz w:val="28"/>
          <w:szCs w:val="28"/>
          <w:lang w:val="kk-KZ"/>
        </w:rPr>
        <w:t xml:space="preserve">аққан іздері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болса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B5017C2" w14:textId="77777777" w:rsidR="007D6D0C" w:rsidRPr="002F02FE" w:rsidRDefault="007D6D0C" w:rsidP="007D6D0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Л</w:t>
      </w:r>
      <w:r w:rsidRPr="002F02FE">
        <w:rPr>
          <w:rFonts w:ascii="Times New Roman" w:hAnsi="Times New Roman"/>
          <w:sz w:val="28"/>
          <w:szCs w:val="28"/>
          <w:lang w:val="ru-RU"/>
        </w:rPr>
        <w:t>ас</w:t>
      </w:r>
      <w:r w:rsidRPr="002F02F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оқылмайтын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тіркеу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нөмірлік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белгісі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болған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кезде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AAC3E79" w14:textId="77777777" w:rsidR="007D6D0C" w:rsidRPr="002F02FE" w:rsidRDefault="007D6D0C" w:rsidP="007D6D0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Ж</w:t>
      </w:r>
      <w:r w:rsidRPr="002F02FE">
        <w:rPr>
          <w:rFonts w:ascii="Times New Roman" w:hAnsi="Times New Roman"/>
          <w:sz w:val="28"/>
          <w:szCs w:val="28"/>
          <w:lang w:val="ru-RU"/>
        </w:rPr>
        <w:t>арамды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бастапқы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өрт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сөндіру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құралдары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өрт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сөндіргіш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болмаған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жағдайда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E58F5C" w14:textId="77777777" w:rsidR="007D6D0C" w:rsidRPr="002F02FE" w:rsidRDefault="007D6D0C" w:rsidP="007D6D0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</w:t>
      </w:r>
      <w:r w:rsidRPr="002F02FE">
        <w:rPr>
          <w:rFonts w:ascii="Times New Roman" w:hAnsi="Times New Roman"/>
          <w:sz w:val="28"/>
          <w:szCs w:val="28"/>
          <w:lang w:val="ru-RU"/>
        </w:rPr>
        <w:t>гер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құралы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r w:rsidRPr="002F02FE">
        <w:rPr>
          <w:rFonts w:ascii="Times New Roman" w:hAnsi="Times New Roman"/>
          <w:sz w:val="28"/>
          <w:szCs w:val="28"/>
          <w:lang w:val="ru-RU"/>
        </w:rPr>
        <w:t>газ</w:t>
      </w:r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баллонды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жабдықпен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жабдықталған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болса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B98960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F02FE">
        <w:rPr>
          <w:rFonts w:ascii="Times New Roman" w:hAnsi="Times New Roman"/>
          <w:sz w:val="28"/>
          <w:szCs w:val="28"/>
        </w:rPr>
        <w:t>Паркинг</w:t>
      </w:r>
      <w:proofErr w:type="spellEnd"/>
      <w:r w:rsidRPr="002F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</w:rPr>
        <w:t>аумағында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41D7F042" w14:textId="77777777" w:rsidR="007D6D0C" w:rsidRPr="002F02FE" w:rsidRDefault="007D6D0C" w:rsidP="007D6D0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қозғалтқышы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жұмыс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істеп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тұрған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құралы</w:t>
      </w:r>
      <w:proofErr w:type="spellEnd"/>
      <w:r w:rsidRPr="002F02FE">
        <w:rPr>
          <w:rFonts w:ascii="Times New Roman" w:hAnsi="Times New Roman"/>
          <w:sz w:val="28"/>
          <w:szCs w:val="28"/>
          <w:lang w:val="kk-KZ"/>
        </w:rPr>
        <w:t>ның</w:t>
      </w:r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тұру</w:t>
      </w:r>
      <w:proofErr w:type="spellEnd"/>
      <w:r w:rsidRPr="002F02FE">
        <w:rPr>
          <w:rFonts w:ascii="Times New Roman" w:hAnsi="Times New Roman"/>
          <w:sz w:val="28"/>
          <w:szCs w:val="28"/>
          <w:lang w:val="kk-KZ"/>
        </w:rPr>
        <w:t>ын</w:t>
      </w:r>
      <w:r w:rsidRPr="002F02FE">
        <w:rPr>
          <w:rFonts w:ascii="Times New Roman" w:hAnsi="Times New Roman"/>
          <w:sz w:val="28"/>
          <w:szCs w:val="28"/>
          <w:lang w:val="ru-RU"/>
        </w:rPr>
        <w:t>а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14:paraId="1428D94A" w14:textId="77777777" w:rsidR="007D6D0C" w:rsidRPr="002F02FE" w:rsidRDefault="007D6D0C" w:rsidP="007D6D0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02FE">
        <w:rPr>
          <w:rFonts w:ascii="Times New Roman" w:hAnsi="Times New Roman"/>
          <w:sz w:val="28"/>
          <w:szCs w:val="28"/>
          <w:lang w:val="kk-KZ"/>
        </w:rPr>
        <w:t>өту жолдарын, эвакуациялық шығу жолдарын бұғаттауға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14:paraId="7E24A008" w14:textId="77777777" w:rsidR="007D6D0C" w:rsidRPr="002F02FE" w:rsidRDefault="007D6D0C" w:rsidP="007D6D0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02FE">
        <w:rPr>
          <w:rFonts w:ascii="Times New Roman" w:hAnsi="Times New Roman"/>
          <w:sz w:val="28"/>
          <w:szCs w:val="28"/>
          <w:lang w:val="kk-KZ"/>
        </w:rPr>
        <w:t>темекі шегуге және спирттік ішімдіктерді ішуге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14:paraId="5E1C3CEE" w14:textId="77777777" w:rsidR="007D6D0C" w:rsidRPr="002F02FE" w:rsidRDefault="007D6D0C" w:rsidP="007D6D0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02FE">
        <w:rPr>
          <w:rFonts w:ascii="Times New Roman" w:hAnsi="Times New Roman"/>
          <w:sz w:val="28"/>
          <w:szCs w:val="28"/>
          <w:lang w:val="kk-KZ"/>
        </w:rPr>
        <w:t>көлік құралдарын жууға, сүртуге, тазалауға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14:paraId="7C5A5132" w14:textId="77777777" w:rsidR="007D6D0C" w:rsidRPr="002F02FE" w:rsidRDefault="007D6D0C" w:rsidP="007D6D0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02FE">
        <w:rPr>
          <w:rFonts w:ascii="Times New Roman" w:hAnsi="Times New Roman"/>
          <w:sz w:val="28"/>
          <w:szCs w:val="28"/>
          <w:lang w:val="kk-KZ"/>
        </w:rPr>
        <w:t>бір көлік құралын біреуден артық тұрақ орнына қоюға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FE9EA18" w14:textId="77777777" w:rsidR="007D6D0C" w:rsidRPr="002F02FE" w:rsidRDefault="007D6D0C" w:rsidP="007D6D0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02FE">
        <w:rPr>
          <w:rFonts w:ascii="Times New Roman" w:hAnsi="Times New Roman"/>
          <w:sz w:val="28"/>
          <w:szCs w:val="28"/>
          <w:lang w:val="kk-KZ"/>
        </w:rPr>
        <w:t>көлік құралын бекітілмеген жерге орналастыруға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14:paraId="3BC6692B" w14:textId="77777777" w:rsidR="007D6D0C" w:rsidRPr="002F02FE" w:rsidRDefault="007D6D0C" w:rsidP="007D6D0C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2F02FE">
        <w:rPr>
          <w:rFonts w:ascii="Times New Roman" w:hAnsi="Times New Roman"/>
          <w:sz w:val="28"/>
          <w:szCs w:val="28"/>
          <w:lang w:val="ru-RU"/>
        </w:rPr>
        <w:t>өлік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құралын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жөндеу</w:t>
      </w:r>
      <w:proofErr w:type="spellEnd"/>
      <w:r w:rsidRPr="002F02FE">
        <w:rPr>
          <w:rFonts w:ascii="Times New Roman" w:hAnsi="Times New Roman"/>
          <w:sz w:val="28"/>
          <w:szCs w:val="28"/>
          <w:lang w:val="kk-KZ"/>
        </w:rPr>
        <w:t>ге</w:t>
      </w:r>
      <w:r w:rsidRPr="002F02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қызмет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көрсету</w:t>
      </w:r>
      <w:proofErr w:type="spellEnd"/>
      <w:r w:rsidRPr="002F02FE">
        <w:rPr>
          <w:rFonts w:ascii="Times New Roman" w:hAnsi="Times New Roman"/>
          <w:sz w:val="28"/>
          <w:szCs w:val="28"/>
          <w:lang w:val="kk-KZ"/>
        </w:rPr>
        <w:t>ге</w:t>
      </w:r>
      <w:r w:rsidRPr="002F02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оның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5BD7747" w14:textId="77777777" w:rsidR="007D6D0C" w:rsidRPr="002F02FE" w:rsidRDefault="007D6D0C" w:rsidP="007D6D0C">
      <w:pPr>
        <w:pStyle w:val="a3"/>
        <w:spacing w:after="0" w:line="240" w:lineRule="auto"/>
        <w:ind w:left="106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ішінде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сұйықтықтарды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майларды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ауыстыру</w:t>
      </w:r>
      <w:proofErr w:type="spellEnd"/>
      <w:r w:rsidRPr="002F02FE">
        <w:rPr>
          <w:rFonts w:ascii="Times New Roman" w:hAnsi="Times New Roman"/>
          <w:sz w:val="28"/>
          <w:szCs w:val="28"/>
          <w:lang w:val="kk-KZ"/>
        </w:rPr>
        <w:t>ға</w:t>
      </w:r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толықтыру</w:t>
      </w:r>
      <w:proofErr w:type="spellEnd"/>
      <w:r w:rsidRPr="002F02FE">
        <w:rPr>
          <w:rFonts w:ascii="Times New Roman" w:hAnsi="Times New Roman"/>
          <w:sz w:val="28"/>
          <w:szCs w:val="28"/>
          <w:lang w:val="kk-KZ"/>
        </w:rPr>
        <w:t>ға</w:t>
      </w:r>
      <w:r w:rsidRPr="002F02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аккумуляторларды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ауыстыру</w:t>
      </w:r>
      <w:proofErr w:type="spellEnd"/>
      <w:r w:rsidRPr="002F02FE">
        <w:rPr>
          <w:rFonts w:ascii="Times New Roman" w:hAnsi="Times New Roman"/>
          <w:sz w:val="28"/>
          <w:szCs w:val="28"/>
          <w:lang w:val="kk-KZ"/>
        </w:rPr>
        <w:t>ға</w:t>
      </w:r>
      <w:r w:rsidRPr="002F02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дөңгелектерді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ауыстыру</w:t>
      </w:r>
      <w:proofErr w:type="spellEnd"/>
      <w:r w:rsidRPr="002F02FE">
        <w:rPr>
          <w:rFonts w:ascii="Times New Roman" w:hAnsi="Times New Roman"/>
          <w:sz w:val="28"/>
          <w:szCs w:val="28"/>
          <w:lang w:val="kk-KZ"/>
        </w:rPr>
        <w:t>ға,</w:t>
      </w:r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айдау</w:t>
      </w:r>
      <w:proofErr w:type="spellEnd"/>
      <w:r w:rsidRPr="002F02FE">
        <w:rPr>
          <w:rFonts w:ascii="Times New Roman" w:hAnsi="Times New Roman"/>
          <w:sz w:val="28"/>
          <w:szCs w:val="28"/>
          <w:lang w:val="kk-KZ"/>
        </w:rPr>
        <w:t>ға</w:t>
      </w:r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т.б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>.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14:paraId="1095C4C6" w14:textId="77777777" w:rsidR="007D6D0C" w:rsidRPr="002F02FE" w:rsidRDefault="007D6D0C" w:rsidP="007D6D0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Ж</w:t>
      </w:r>
      <w:r w:rsidRPr="002F02FE">
        <w:rPr>
          <w:rFonts w:ascii="Times New Roman" w:hAnsi="Times New Roman"/>
          <w:sz w:val="28"/>
          <w:szCs w:val="28"/>
          <w:lang w:val="ru-RU"/>
        </w:rPr>
        <w:t>анар-жағармай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материалдарын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жарылғыш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заттарды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әкелу</w:t>
      </w:r>
      <w:proofErr w:type="spellEnd"/>
      <w:r w:rsidRPr="002F02FE">
        <w:rPr>
          <w:rFonts w:ascii="Times New Roman" w:hAnsi="Times New Roman"/>
          <w:sz w:val="28"/>
          <w:szCs w:val="28"/>
          <w:lang w:val="kk-KZ"/>
        </w:rPr>
        <w:t xml:space="preserve">ге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сақтау</w:t>
      </w:r>
      <w:proofErr w:type="spellEnd"/>
      <w:r w:rsidRPr="002F02FE">
        <w:rPr>
          <w:rFonts w:ascii="Times New Roman" w:hAnsi="Times New Roman"/>
          <w:sz w:val="28"/>
          <w:szCs w:val="28"/>
          <w:lang w:val="kk-KZ"/>
        </w:rPr>
        <w:t>ға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14:paraId="5CAA9B92" w14:textId="77777777" w:rsidR="007D6D0C" w:rsidRPr="002F02FE" w:rsidRDefault="007D6D0C" w:rsidP="007D6D0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2F02FE">
        <w:rPr>
          <w:rFonts w:ascii="Times New Roman" w:hAnsi="Times New Roman"/>
          <w:sz w:val="28"/>
          <w:szCs w:val="28"/>
          <w:lang w:val="ru-RU"/>
        </w:rPr>
        <w:t>үгедектердің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құралдарын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қоюға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орындарды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алу</w:t>
      </w:r>
      <w:proofErr w:type="spellEnd"/>
      <w:r w:rsidRPr="002F02FE">
        <w:rPr>
          <w:rFonts w:ascii="Times New Roman" w:hAnsi="Times New Roman"/>
          <w:sz w:val="28"/>
          <w:szCs w:val="28"/>
          <w:lang w:val="kk-KZ"/>
        </w:rPr>
        <w:t>ға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181F205C" w14:textId="77777777" w:rsidR="007D6D0C" w:rsidRPr="002F02FE" w:rsidRDefault="007D6D0C" w:rsidP="007D6D0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2F02FE">
        <w:rPr>
          <w:rFonts w:ascii="Times New Roman" w:hAnsi="Times New Roman"/>
          <w:sz w:val="28"/>
          <w:szCs w:val="28"/>
          <w:lang w:val="ru-RU"/>
        </w:rPr>
        <w:t>өлік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құралын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ашық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қалдыруға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14:paraId="7D29279C" w14:textId="77777777" w:rsidR="007D6D0C" w:rsidRPr="002F02FE" w:rsidRDefault="007D6D0C" w:rsidP="007D6D0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2F02FE">
        <w:rPr>
          <w:rFonts w:ascii="Times New Roman" w:hAnsi="Times New Roman"/>
          <w:sz w:val="28"/>
          <w:szCs w:val="28"/>
          <w:lang w:val="ru-RU"/>
        </w:rPr>
        <w:t>өлік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құралын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қозғалыста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қалдыруға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14:paraId="2EE182BC" w14:textId="77777777" w:rsidR="007D6D0C" w:rsidRPr="002F02FE" w:rsidRDefault="007D6D0C" w:rsidP="007D6D0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2F02FE">
        <w:rPr>
          <w:rFonts w:ascii="Times New Roman" w:hAnsi="Times New Roman"/>
          <w:sz w:val="28"/>
          <w:szCs w:val="28"/>
          <w:lang w:val="ru-RU"/>
        </w:rPr>
        <w:t>өлік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құралдарында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орнатылған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кез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02FE">
        <w:rPr>
          <w:rFonts w:ascii="Times New Roman" w:hAnsi="Times New Roman"/>
          <w:sz w:val="28"/>
          <w:szCs w:val="28"/>
          <w:lang w:val="kk-KZ"/>
        </w:rPr>
        <w:t xml:space="preserve">-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келген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дыбыс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шығаратын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дыбысты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күшейтетін</w:t>
      </w:r>
      <w:proofErr w:type="spellEnd"/>
      <w:r w:rsidRPr="002F02FE">
        <w:rPr>
          <w:rFonts w:ascii="Times New Roman" w:hAnsi="Times New Roman"/>
          <w:sz w:val="28"/>
          <w:szCs w:val="28"/>
          <w:lang w:val="kk-KZ"/>
        </w:rPr>
        <w:t xml:space="preserve"> құрылғыларды пайдалануға</w:t>
      </w:r>
      <w:r w:rsidRPr="002F02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02FE">
        <w:rPr>
          <w:rFonts w:ascii="Times New Roman" w:hAnsi="Times New Roman"/>
          <w:sz w:val="28"/>
          <w:szCs w:val="28"/>
          <w:lang w:val="kk-KZ"/>
        </w:rPr>
        <w:t xml:space="preserve">тыныштықты бұзатын </w:t>
      </w:r>
      <w:r w:rsidRPr="002F02FE">
        <w:rPr>
          <w:rFonts w:ascii="Times New Roman" w:hAnsi="Times New Roman"/>
          <w:sz w:val="28"/>
          <w:szCs w:val="28"/>
          <w:lang w:val="ru-RU"/>
        </w:rPr>
        <w:t>шу</w:t>
      </w:r>
      <w:r w:rsidRPr="002F02FE">
        <w:rPr>
          <w:rFonts w:ascii="Times New Roman" w:hAnsi="Times New Roman"/>
          <w:sz w:val="28"/>
          <w:szCs w:val="28"/>
          <w:lang w:val="kk-KZ"/>
        </w:rPr>
        <w:t>лау</w:t>
      </w:r>
      <w:r w:rsidRPr="002F02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айғай</w:t>
      </w:r>
      <w:proofErr w:type="spellEnd"/>
      <w:r w:rsidRPr="002F02FE">
        <w:rPr>
          <w:rFonts w:ascii="Times New Roman" w:hAnsi="Times New Roman"/>
          <w:sz w:val="28"/>
          <w:szCs w:val="28"/>
          <w:lang w:val="kk-KZ"/>
        </w:rPr>
        <w:t>лау</w:t>
      </w:r>
      <w:r w:rsidRPr="002F02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ән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hAnsi="Times New Roman"/>
          <w:sz w:val="28"/>
          <w:szCs w:val="28"/>
          <w:lang w:val="ru-RU"/>
        </w:rPr>
        <w:t>айту</w:t>
      </w:r>
      <w:proofErr w:type="spellEnd"/>
      <w:r w:rsidRPr="002F02FE">
        <w:rPr>
          <w:rFonts w:ascii="Times New Roman" w:hAnsi="Times New Roman"/>
          <w:sz w:val="28"/>
          <w:szCs w:val="28"/>
          <w:lang w:val="kk-KZ"/>
        </w:rPr>
        <w:t>, аспаптарда ойнау және басқа да әрекеттерге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14:paraId="1C6131E7" w14:textId="77777777" w:rsidR="007D6D0C" w:rsidRPr="002F02FE" w:rsidRDefault="007D6D0C" w:rsidP="007D6D0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Pr="002F02FE">
        <w:rPr>
          <w:rFonts w:ascii="Times New Roman" w:hAnsi="Times New Roman"/>
          <w:sz w:val="28"/>
          <w:szCs w:val="28"/>
          <w:lang w:val="kk-KZ"/>
        </w:rPr>
        <w:t>айда табуға байланысты қызметті жүзеге асыруға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14:paraId="57C428F5" w14:textId="77777777" w:rsidR="007D6D0C" w:rsidRPr="002F02FE" w:rsidRDefault="007D6D0C" w:rsidP="007D6D0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Pr="002F02FE">
        <w:rPr>
          <w:rFonts w:ascii="Times New Roman" w:hAnsi="Times New Roman"/>
          <w:sz w:val="28"/>
          <w:szCs w:val="28"/>
          <w:lang w:val="kk-KZ"/>
        </w:rPr>
        <w:t>втотұрақ қызметінің құнын төлемей тұрақ аймағынан шығуға тиым салынады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1B642821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Паркинг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кіруге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паркинг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бордюр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жаяужолд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жаяу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жүргіншілер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аймақтары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арқылы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шығуға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C644DC1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Жалға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рұқсатынсыз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03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эвакуациялық</w:t>
      </w:r>
      <w:proofErr w:type="spellEnd"/>
      <w:r w:rsidRPr="00C403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03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шығу</w:t>
      </w:r>
      <w:proofErr w:type="spellEnd"/>
      <w:r w:rsidRPr="00C403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03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арқылы</w:t>
      </w:r>
      <w:proofErr w:type="spellEnd"/>
      <w:r w:rsidRPr="00C403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паркинг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паркинг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шығ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уға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F07E829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Тіркемесі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бар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паркинг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жүруге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D626142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Тіркемесі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асқа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құралымен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бірге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құралында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паркинг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жүруге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239FE30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Ірі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габаритті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көлікке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арналған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кіруді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қоспағанда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8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көп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отыратын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орны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бар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құралының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паркинг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аумағына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кіруі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5D94FC8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Габариттік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параметрлерінің</w:t>
      </w:r>
      <w:proofErr w:type="spellEnd"/>
      <w:r w:rsidRPr="00C403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ұ</w:t>
      </w: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зындығы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6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метрден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2,7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метрден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асатын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асатын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құралының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паркингке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кіруі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proofErr w:type="spellEnd"/>
      <w:r w:rsidRPr="00F55E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031B">
        <w:rPr>
          <w:rFonts w:ascii="Times New Roman" w:hAnsi="Times New Roman"/>
          <w:sz w:val="28"/>
          <w:szCs w:val="28"/>
          <w:lang w:val="ru-RU"/>
        </w:rPr>
        <w:t>тыйым</w:t>
      </w:r>
      <w:proofErr w:type="spellEnd"/>
      <w:r w:rsidRPr="002F02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031B">
        <w:rPr>
          <w:rFonts w:ascii="Times New Roman" w:hAnsi="Times New Roman"/>
          <w:sz w:val="28"/>
          <w:szCs w:val="28"/>
          <w:lang w:val="ru-RU"/>
        </w:rPr>
        <w:t>салынады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CD6650D" w14:textId="77777777" w:rsidR="007D6D0C" w:rsidRPr="002F02FE" w:rsidRDefault="007D6D0C" w:rsidP="007D6D0C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7EF82CE" w14:textId="77777777" w:rsidR="007D6D0C" w:rsidRPr="002F02FE" w:rsidRDefault="007D6D0C" w:rsidP="007D6D0C">
      <w:pPr>
        <w:pStyle w:val="2"/>
        <w:numPr>
          <w:ilvl w:val="0"/>
          <w:numId w:val="2"/>
        </w:numPr>
        <w:ind w:left="360"/>
        <w:rPr>
          <w:sz w:val="28"/>
          <w:szCs w:val="28"/>
          <w:lang w:val="ru-RU"/>
        </w:rPr>
      </w:pPr>
      <w:proofErr w:type="spellStart"/>
      <w:r w:rsidRPr="002F02FE">
        <w:rPr>
          <w:sz w:val="28"/>
          <w:szCs w:val="28"/>
          <w:lang w:val="ru-RU"/>
        </w:rPr>
        <w:lastRenderedPageBreak/>
        <w:t>Қорытынды</w:t>
      </w:r>
      <w:proofErr w:type="spellEnd"/>
      <w:r w:rsidRPr="002F02FE">
        <w:rPr>
          <w:sz w:val="28"/>
          <w:szCs w:val="28"/>
          <w:lang w:val="ru-RU"/>
        </w:rPr>
        <w:t xml:space="preserve"> </w:t>
      </w:r>
      <w:proofErr w:type="spellStart"/>
      <w:r w:rsidRPr="002F02FE">
        <w:rPr>
          <w:sz w:val="28"/>
          <w:szCs w:val="28"/>
          <w:lang w:val="ru-RU"/>
        </w:rPr>
        <w:t>ережелер</w:t>
      </w:r>
      <w:proofErr w:type="spellEnd"/>
    </w:p>
    <w:p w14:paraId="1A7A05EF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Қағида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жалдау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шартына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жария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оферта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шартына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қосымша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табылады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пайдаланушылардың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міндетті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түрде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ұстануына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жатады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6426748" w14:textId="77777777" w:rsidR="007D6D0C" w:rsidRPr="002F02FE" w:rsidRDefault="007D6D0C" w:rsidP="007D6D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Осы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Қағидалармен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реттелмеген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қатынастар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қолданыстағы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заңнамасымен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реттеледі</w:t>
      </w:r>
      <w:proofErr w:type="spellEnd"/>
      <w:r w:rsidRPr="002F02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 </w:t>
      </w:r>
    </w:p>
    <w:p w14:paraId="4C811D9B" w14:textId="77777777" w:rsidR="007D6D0C" w:rsidRPr="002F02FE" w:rsidRDefault="007D6D0C" w:rsidP="007D6D0C">
      <w:pPr>
        <w:rPr>
          <w:sz w:val="28"/>
          <w:szCs w:val="28"/>
          <w:lang w:val="ru-RU"/>
        </w:rPr>
      </w:pPr>
    </w:p>
    <w:p w14:paraId="1059A518" w14:textId="77777777" w:rsidR="007D6D0C" w:rsidRPr="002F02FE" w:rsidRDefault="007D6D0C" w:rsidP="007D6D0C">
      <w:pPr>
        <w:rPr>
          <w:sz w:val="28"/>
          <w:szCs w:val="28"/>
          <w:lang w:val="ru-RU"/>
        </w:rPr>
      </w:pPr>
    </w:p>
    <w:p w14:paraId="5A1F3EC4" w14:textId="77777777" w:rsidR="007D6D0C" w:rsidRPr="002F02FE" w:rsidRDefault="007D6D0C" w:rsidP="007D6D0C">
      <w:pPr>
        <w:rPr>
          <w:sz w:val="28"/>
          <w:szCs w:val="28"/>
          <w:lang w:val="ru-RU"/>
        </w:rPr>
      </w:pPr>
    </w:p>
    <w:p w14:paraId="7BB7D61E" w14:textId="77777777" w:rsidR="007D6D0C" w:rsidRPr="002F02FE" w:rsidRDefault="007D6D0C" w:rsidP="007D6D0C">
      <w:pPr>
        <w:rPr>
          <w:sz w:val="28"/>
          <w:szCs w:val="28"/>
          <w:lang w:val="ru-RU"/>
        </w:rPr>
      </w:pPr>
    </w:p>
    <w:p w14:paraId="569E32D6" w14:textId="77777777" w:rsidR="007D6D0C" w:rsidRPr="002F02FE" w:rsidRDefault="007D6D0C" w:rsidP="007D6D0C">
      <w:pPr>
        <w:rPr>
          <w:sz w:val="28"/>
          <w:szCs w:val="28"/>
          <w:lang w:val="ru-RU"/>
        </w:rPr>
      </w:pPr>
    </w:p>
    <w:p w14:paraId="0E1111FD" w14:textId="77777777" w:rsidR="007D6D0C" w:rsidRPr="002F02FE" w:rsidRDefault="007D6D0C" w:rsidP="007D6D0C">
      <w:pPr>
        <w:rPr>
          <w:sz w:val="28"/>
          <w:szCs w:val="28"/>
          <w:lang w:val="ru-RU"/>
        </w:rPr>
      </w:pPr>
    </w:p>
    <w:p w14:paraId="3FEBCD02" w14:textId="77777777" w:rsidR="007D6D0C" w:rsidRPr="002F02FE" w:rsidRDefault="007D6D0C" w:rsidP="007D6D0C">
      <w:pPr>
        <w:rPr>
          <w:sz w:val="28"/>
          <w:szCs w:val="28"/>
          <w:lang w:val="ru-RU"/>
        </w:rPr>
      </w:pPr>
    </w:p>
    <w:p w14:paraId="5424A51C" w14:textId="77777777" w:rsidR="007D6D0C" w:rsidRPr="002F02FE" w:rsidRDefault="007D6D0C" w:rsidP="007D6D0C">
      <w:pPr>
        <w:rPr>
          <w:sz w:val="28"/>
          <w:szCs w:val="28"/>
          <w:lang w:val="ru-RU"/>
        </w:rPr>
      </w:pPr>
    </w:p>
    <w:p w14:paraId="1CDF05C8" w14:textId="77777777" w:rsidR="007D6D0C" w:rsidRPr="002F02FE" w:rsidRDefault="007D6D0C" w:rsidP="007D6D0C">
      <w:pPr>
        <w:rPr>
          <w:sz w:val="28"/>
          <w:szCs w:val="28"/>
          <w:lang w:val="ru-RU"/>
        </w:rPr>
      </w:pPr>
    </w:p>
    <w:p w14:paraId="32ED7EA2" w14:textId="77777777" w:rsidR="007D6D0C" w:rsidRPr="002F02FE" w:rsidRDefault="007D6D0C" w:rsidP="007D6D0C">
      <w:pPr>
        <w:rPr>
          <w:sz w:val="28"/>
          <w:szCs w:val="28"/>
          <w:lang w:val="ru-RU"/>
        </w:rPr>
      </w:pPr>
    </w:p>
    <w:p w14:paraId="5C1FD06F" w14:textId="77777777" w:rsidR="007D6D0C" w:rsidRPr="002F02FE" w:rsidRDefault="007D6D0C" w:rsidP="007D6D0C">
      <w:pPr>
        <w:rPr>
          <w:sz w:val="28"/>
          <w:szCs w:val="28"/>
          <w:lang w:val="ru-RU"/>
        </w:rPr>
      </w:pPr>
    </w:p>
    <w:p w14:paraId="4B8C2C62" w14:textId="77777777" w:rsidR="007D6D0C" w:rsidRPr="002F02FE" w:rsidRDefault="007D6D0C" w:rsidP="007D6D0C">
      <w:pPr>
        <w:rPr>
          <w:sz w:val="28"/>
          <w:szCs w:val="28"/>
          <w:lang w:val="ru-RU"/>
        </w:rPr>
      </w:pPr>
    </w:p>
    <w:p w14:paraId="5B8F8151" w14:textId="77777777" w:rsidR="007D6D0C" w:rsidRPr="002F02FE" w:rsidRDefault="007D6D0C" w:rsidP="007D6D0C">
      <w:pPr>
        <w:rPr>
          <w:sz w:val="28"/>
          <w:szCs w:val="28"/>
          <w:lang w:val="ru-RU"/>
        </w:rPr>
      </w:pPr>
    </w:p>
    <w:p w14:paraId="2B60F8D6" w14:textId="77777777" w:rsidR="007D6D0C" w:rsidRPr="002F02FE" w:rsidRDefault="007D6D0C" w:rsidP="007D6D0C">
      <w:pPr>
        <w:rPr>
          <w:sz w:val="28"/>
          <w:szCs w:val="28"/>
          <w:lang w:val="ru-RU"/>
        </w:rPr>
      </w:pPr>
    </w:p>
    <w:p w14:paraId="4236FF9C" w14:textId="77777777" w:rsidR="007D6D0C" w:rsidRPr="002F02FE" w:rsidRDefault="007D6D0C" w:rsidP="007D6D0C">
      <w:pPr>
        <w:ind w:firstLine="720"/>
        <w:rPr>
          <w:sz w:val="28"/>
          <w:szCs w:val="28"/>
          <w:lang w:val="ru-RU"/>
        </w:rPr>
      </w:pPr>
    </w:p>
    <w:p w14:paraId="52F8E3A7" w14:textId="77777777" w:rsidR="007D6D0C" w:rsidRPr="002F02FE" w:rsidRDefault="007D6D0C" w:rsidP="007D6D0C">
      <w:pPr>
        <w:ind w:firstLine="720"/>
        <w:rPr>
          <w:sz w:val="28"/>
          <w:szCs w:val="28"/>
          <w:lang w:val="ru-RU"/>
        </w:rPr>
      </w:pPr>
    </w:p>
    <w:p w14:paraId="314271A8" w14:textId="77777777" w:rsidR="007D6D0C" w:rsidRPr="002F02FE" w:rsidRDefault="007D6D0C" w:rsidP="007D6D0C">
      <w:pPr>
        <w:ind w:firstLine="720"/>
        <w:rPr>
          <w:sz w:val="28"/>
          <w:szCs w:val="28"/>
          <w:lang w:val="ru-RU"/>
        </w:rPr>
      </w:pPr>
    </w:p>
    <w:p w14:paraId="5D0F1AC3" w14:textId="77777777" w:rsidR="007D6D0C" w:rsidRPr="002F02FE" w:rsidRDefault="007D6D0C" w:rsidP="007D6D0C">
      <w:pPr>
        <w:ind w:firstLine="720"/>
        <w:rPr>
          <w:sz w:val="28"/>
          <w:szCs w:val="28"/>
          <w:lang w:val="ru-RU"/>
        </w:rPr>
      </w:pPr>
    </w:p>
    <w:p w14:paraId="278297CA" w14:textId="77777777" w:rsidR="007D6D0C" w:rsidRPr="002F02FE" w:rsidRDefault="007D6D0C" w:rsidP="007D6D0C">
      <w:pPr>
        <w:ind w:firstLine="720"/>
        <w:rPr>
          <w:sz w:val="28"/>
          <w:szCs w:val="28"/>
          <w:lang w:val="ru-RU"/>
        </w:rPr>
      </w:pPr>
    </w:p>
    <w:p w14:paraId="5805D7E7" w14:textId="77777777" w:rsidR="007D6D0C" w:rsidRPr="002F02FE" w:rsidRDefault="007D6D0C" w:rsidP="007D6D0C">
      <w:pPr>
        <w:ind w:firstLine="720"/>
        <w:rPr>
          <w:sz w:val="28"/>
          <w:szCs w:val="28"/>
          <w:lang w:val="ru-RU"/>
        </w:rPr>
      </w:pPr>
    </w:p>
    <w:p w14:paraId="7338A99B" w14:textId="77777777" w:rsidR="007D6D0C" w:rsidRPr="002F02FE" w:rsidRDefault="007D6D0C" w:rsidP="007D6D0C">
      <w:pPr>
        <w:ind w:firstLine="720"/>
        <w:rPr>
          <w:sz w:val="28"/>
          <w:szCs w:val="28"/>
          <w:lang w:val="ru-RU"/>
        </w:rPr>
      </w:pPr>
    </w:p>
    <w:p w14:paraId="5FCFA6B4" w14:textId="77777777" w:rsidR="007D6D0C" w:rsidRPr="002F02FE" w:rsidRDefault="007D6D0C" w:rsidP="007D6D0C">
      <w:pPr>
        <w:ind w:firstLine="720"/>
        <w:rPr>
          <w:sz w:val="28"/>
          <w:szCs w:val="28"/>
          <w:lang w:val="ru-RU"/>
        </w:rPr>
      </w:pPr>
    </w:p>
    <w:p w14:paraId="3C3B29EC" w14:textId="77777777" w:rsidR="007D6D0C" w:rsidRPr="002F02FE" w:rsidRDefault="007D6D0C" w:rsidP="007D6D0C">
      <w:pPr>
        <w:ind w:firstLine="720"/>
        <w:rPr>
          <w:sz w:val="28"/>
          <w:szCs w:val="28"/>
          <w:lang w:val="ru-RU"/>
        </w:rPr>
      </w:pPr>
    </w:p>
    <w:p w14:paraId="44C4171B" w14:textId="77777777" w:rsidR="007D6D0C" w:rsidRPr="002F02FE" w:rsidRDefault="007D6D0C" w:rsidP="007D6D0C">
      <w:pPr>
        <w:ind w:firstLine="720"/>
        <w:rPr>
          <w:sz w:val="28"/>
          <w:szCs w:val="28"/>
          <w:lang w:val="ru-RU"/>
        </w:rPr>
      </w:pPr>
    </w:p>
    <w:p w14:paraId="31B72E84" w14:textId="77777777" w:rsidR="007D6D0C" w:rsidRPr="00864216" w:rsidRDefault="007D6D0C" w:rsidP="007D6D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E019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"</w:t>
      </w:r>
      <w:proofErr w:type="spellStart"/>
      <w:r w:rsidRPr="00E019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QazExpoCongress</w:t>
      </w:r>
      <w:proofErr w:type="spellEnd"/>
      <w:r w:rsidRPr="00E019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" ҰК " АҚ </w:t>
      </w:r>
      <w:proofErr w:type="spellStart"/>
      <w:r w:rsidRPr="00E019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паркингін</w:t>
      </w:r>
      <w:proofErr w:type="spellEnd"/>
      <w:r w:rsidRPr="00E019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019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пайдалану</w:t>
      </w:r>
      <w:proofErr w:type="spellEnd"/>
      <w:r w:rsidRPr="00E019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019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қағидаларына</w:t>
      </w:r>
      <w:proofErr w:type="spellEnd"/>
      <w:r w:rsidRPr="00E019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019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келісу</w:t>
      </w:r>
      <w:proofErr w:type="spellEnd"/>
      <w:r w:rsidRPr="00E019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019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парағы</w:t>
      </w:r>
      <w:proofErr w:type="spellEnd"/>
    </w:p>
    <w:p w14:paraId="5B805146" w14:textId="77777777" w:rsidR="007D6D0C" w:rsidRPr="00864216" w:rsidRDefault="007D6D0C" w:rsidP="007D6D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505"/>
        <w:gridCol w:w="2405"/>
      </w:tblGrid>
      <w:tr w:rsidR="007D6D0C" w:rsidRPr="00864216" w14:paraId="5D60A785" w14:textId="77777777" w:rsidTr="002F02FE">
        <w:tc>
          <w:tcPr>
            <w:tcW w:w="4106" w:type="dxa"/>
            <w:hideMark/>
          </w:tcPr>
          <w:p w14:paraId="64BAC3AB" w14:textId="77777777" w:rsidR="007D6D0C" w:rsidRPr="00864216" w:rsidRDefault="007D6D0C" w:rsidP="002F02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bookmarkStart w:id="2" w:name="_Hlk124347193"/>
            <w:proofErr w:type="spellStart"/>
            <w:r w:rsidRPr="0086421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Жауапты</w:t>
            </w:r>
            <w:proofErr w:type="spellEnd"/>
            <w:r w:rsidRPr="0086421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421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тұлғалар</w:t>
            </w:r>
            <w:proofErr w:type="spellEnd"/>
            <w:r w:rsidRPr="0086421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6421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құрылымдық</w:t>
            </w:r>
            <w:proofErr w:type="spellEnd"/>
            <w:r w:rsidRPr="0086421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421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бөлімшелердің</w:t>
            </w:r>
            <w:proofErr w:type="spellEnd"/>
            <w:r w:rsidRPr="0086421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421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басшылары</w:t>
            </w:r>
            <w:proofErr w:type="spellEnd"/>
          </w:p>
        </w:tc>
        <w:tc>
          <w:tcPr>
            <w:tcW w:w="2505" w:type="dxa"/>
          </w:tcPr>
          <w:p w14:paraId="6BF15DC5" w14:textId="77777777" w:rsidR="007D6D0C" w:rsidRPr="00864216" w:rsidRDefault="007D6D0C" w:rsidP="002F02FE">
            <w:pPr>
              <w:spacing w:after="0" w:line="252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14:paraId="25A748ED" w14:textId="77777777" w:rsidR="007D6D0C" w:rsidRPr="00864216" w:rsidRDefault="007D6D0C" w:rsidP="002F02FE">
            <w:pPr>
              <w:spacing w:after="0" w:line="252" w:lineRule="auto"/>
              <w:ind w:firstLine="851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864216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Қолы</w:t>
            </w:r>
          </w:p>
        </w:tc>
        <w:tc>
          <w:tcPr>
            <w:tcW w:w="2405" w:type="dxa"/>
            <w:hideMark/>
          </w:tcPr>
          <w:p w14:paraId="1DA57767" w14:textId="77777777" w:rsidR="007D6D0C" w:rsidRPr="00864216" w:rsidRDefault="007D6D0C" w:rsidP="002F02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6421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Жауапты</w:t>
            </w:r>
            <w:proofErr w:type="spellEnd"/>
            <w:r w:rsidRPr="0086421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421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тұлғаның</w:t>
            </w:r>
            <w:proofErr w:type="spellEnd"/>
            <w:r w:rsidRPr="0086421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6FE272F2" w14:textId="77777777" w:rsidR="007D6D0C" w:rsidRPr="00864216" w:rsidRDefault="007D6D0C" w:rsidP="002F02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6421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</w:tr>
      <w:tr w:rsidR="007D6D0C" w:rsidRPr="00864216" w14:paraId="2112CEEC" w14:textId="77777777" w:rsidTr="002F02FE">
        <w:trPr>
          <w:trHeight w:val="686"/>
        </w:trPr>
        <w:tc>
          <w:tcPr>
            <w:tcW w:w="4106" w:type="dxa"/>
          </w:tcPr>
          <w:p w14:paraId="60079206" w14:textId="77777777" w:rsidR="007D6D0C" w:rsidRPr="00864216" w:rsidRDefault="007D6D0C" w:rsidP="002F02FE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proofErr w:type="spellStart"/>
            <w:r w:rsidRPr="00E0193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Құқықтық</w:t>
            </w:r>
            <w:proofErr w:type="spellEnd"/>
            <w:r w:rsidRPr="00E0193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193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қамтамасыз</w:t>
            </w:r>
            <w:proofErr w:type="spellEnd"/>
            <w:r w:rsidRPr="00E0193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193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ету</w:t>
            </w:r>
            <w:proofErr w:type="spellEnd"/>
            <w:r w:rsidRPr="00E0193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193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департаменті</w:t>
            </w:r>
            <w:r w:rsidRPr="008642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нің</w:t>
            </w:r>
            <w:proofErr w:type="spellEnd"/>
            <w:r w:rsidRPr="00864216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директоры</w:t>
            </w:r>
          </w:p>
        </w:tc>
        <w:tc>
          <w:tcPr>
            <w:tcW w:w="2505" w:type="dxa"/>
          </w:tcPr>
          <w:p w14:paraId="1D79E1EC" w14:textId="77777777" w:rsidR="007D6D0C" w:rsidRPr="00864216" w:rsidRDefault="007D6D0C" w:rsidP="002F02FE">
            <w:pPr>
              <w:spacing w:after="0" w:line="252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14:paraId="67DCEA3B" w14:textId="77777777" w:rsidR="007D6D0C" w:rsidRPr="00864216" w:rsidRDefault="007D6D0C" w:rsidP="002F02FE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4216">
              <w:rPr>
                <w:rFonts w:ascii="Times New Roman" w:eastAsia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864216">
              <w:rPr>
                <w:rFonts w:ascii="Times New Roman" w:eastAsia="Times New Roman" w:hAnsi="Times New Roman"/>
                <w:sz w:val="28"/>
                <w:szCs w:val="28"/>
              </w:rPr>
              <w:t>Мейіржан</w:t>
            </w:r>
            <w:proofErr w:type="spellEnd"/>
            <w:r w:rsidRPr="00864216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D6D0C" w:rsidRPr="00864216" w14:paraId="50504401" w14:textId="77777777" w:rsidTr="002F02FE">
        <w:trPr>
          <w:trHeight w:val="686"/>
        </w:trPr>
        <w:tc>
          <w:tcPr>
            <w:tcW w:w="4106" w:type="dxa"/>
            <w:vAlign w:val="center"/>
          </w:tcPr>
          <w:p w14:paraId="69990661" w14:textId="77777777" w:rsidR="007D6D0C" w:rsidRPr="00864216" w:rsidRDefault="007D6D0C" w:rsidP="002F0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01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Қауіпсіздік</w:t>
            </w:r>
            <w:proofErr w:type="spellEnd"/>
            <w:r w:rsidRPr="00E01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7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797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еңбекті</w:t>
            </w:r>
            <w:proofErr w:type="spellEnd"/>
            <w:r w:rsidRPr="00864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қорғау</w:t>
            </w:r>
            <w:proofErr w:type="spellEnd"/>
            <w:r w:rsidRPr="00864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департаментінің</w:t>
            </w:r>
            <w:proofErr w:type="spellEnd"/>
            <w:r w:rsidRPr="00864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директоры</w:t>
            </w:r>
          </w:p>
        </w:tc>
        <w:tc>
          <w:tcPr>
            <w:tcW w:w="2505" w:type="dxa"/>
            <w:vAlign w:val="center"/>
          </w:tcPr>
          <w:p w14:paraId="2E969E7E" w14:textId="77777777" w:rsidR="007D6D0C" w:rsidRPr="00864216" w:rsidRDefault="007D6D0C" w:rsidP="002F02FE">
            <w:pPr>
              <w:spacing w:after="0" w:line="252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634B06C9" w14:textId="77777777" w:rsidR="007D6D0C" w:rsidRPr="00864216" w:rsidRDefault="007D6D0C" w:rsidP="002F02FE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421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Т. </w:t>
            </w:r>
            <w:proofErr w:type="spellStart"/>
            <w:r w:rsidRPr="0086421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Тлегенов</w:t>
            </w:r>
            <w:proofErr w:type="spellEnd"/>
          </w:p>
        </w:tc>
      </w:tr>
      <w:tr w:rsidR="007D6D0C" w:rsidRPr="00864216" w14:paraId="6D4DCEEB" w14:textId="77777777" w:rsidTr="002F02FE">
        <w:trPr>
          <w:trHeight w:val="686"/>
        </w:trPr>
        <w:tc>
          <w:tcPr>
            <w:tcW w:w="4106" w:type="dxa"/>
          </w:tcPr>
          <w:p w14:paraId="324DC54A" w14:textId="77777777" w:rsidR="007D6D0C" w:rsidRPr="00864216" w:rsidRDefault="007D6D0C" w:rsidP="002F02FE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01938">
              <w:rPr>
                <w:rFonts w:ascii="Times New Roman" w:hAnsi="Times New Roman"/>
                <w:sz w:val="28"/>
                <w:szCs w:val="28"/>
              </w:rPr>
              <w:t>Ақпараттық</w:t>
            </w:r>
            <w:proofErr w:type="spellEnd"/>
            <w:r w:rsidRPr="00E0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1938">
              <w:rPr>
                <w:rFonts w:ascii="Times New Roman" w:hAnsi="Times New Roman"/>
                <w:sz w:val="28"/>
                <w:szCs w:val="28"/>
              </w:rPr>
              <w:t>технологиялар</w:t>
            </w:r>
            <w:proofErr w:type="spellEnd"/>
            <w:r w:rsidRPr="00E0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1938">
              <w:rPr>
                <w:rFonts w:ascii="Times New Roman" w:hAnsi="Times New Roman"/>
                <w:sz w:val="28"/>
                <w:szCs w:val="28"/>
              </w:rPr>
              <w:t>департаменті</w:t>
            </w:r>
            <w:proofErr w:type="spellEnd"/>
            <w:r w:rsidRPr="00864216">
              <w:rPr>
                <w:rFonts w:ascii="Times New Roman" w:hAnsi="Times New Roman"/>
                <w:sz w:val="28"/>
                <w:szCs w:val="28"/>
                <w:lang w:val="kk-KZ"/>
              </w:rPr>
              <w:t>нің директоры</w:t>
            </w:r>
          </w:p>
        </w:tc>
        <w:tc>
          <w:tcPr>
            <w:tcW w:w="2505" w:type="dxa"/>
          </w:tcPr>
          <w:p w14:paraId="6C966313" w14:textId="77777777" w:rsidR="007D6D0C" w:rsidRPr="00864216" w:rsidRDefault="007D6D0C" w:rsidP="002F02FE">
            <w:pPr>
              <w:spacing w:after="0" w:line="252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14:paraId="6063BCC6" w14:textId="77777777" w:rsidR="007D6D0C" w:rsidRPr="00864216" w:rsidRDefault="007D6D0C" w:rsidP="002F02FE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4216">
              <w:rPr>
                <w:rFonts w:ascii="Times New Roman" w:hAnsi="Times New Roman"/>
                <w:sz w:val="28"/>
                <w:szCs w:val="28"/>
              </w:rPr>
              <w:t>З. Ибраев</w:t>
            </w:r>
          </w:p>
        </w:tc>
      </w:tr>
      <w:tr w:rsidR="007D6D0C" w:rsidRPr="00864216" w14:paraId="4382DB82" w14:textId="77777777" w:rsidTr="002F02FE">
        <w:trPr>
          <w:trHeight w:val="827"/>
        </w:trPr>
        <w:tc>
          <w:tcPr>
            <w:tcW w:w="4106" w:type="dxa"/>
            <w:vAlign w:val="center"/>
            <w:hideMark/>
          </w:tcPr>
          <w:p w14:paraId="5D080927" w14:textId="77777777" w:rsidR="007D6D0C" w:rsidRPr="00864216" w:rsidRDefault="007D6D0C" w:rsidP="002F02FE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01938">
              <w:rPr>
                <w:rFonts w:ascii="Times New Roman" w:eastAsia="Times New Roman" w:hAnsi="Times New Roman"/>
                <w:sz w:val="28"/>
                <w:szCs w:val="28"/>
              </w:rPr>
              <w:t>Коммерциялау</w:t>
            </w:r>
            <w:proofErr w:type="spellEnd"/>
            <w:r w:rsidRPr="00E019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1938">
              <w:rPr>
                <w:rFonts w:ascii="Times New Roman" w:eastAsia="Times New Roman" w:hAnsi="Times New Roman"/>
                <w:sz w:val="28"/>
                <w:szCs w:val="28"/>
              </w:rPr>
              <w:t>департаменті</w:t>
            </w:r>
            <w:proofErr w:type="spellEnd"/>
            <w:r w:rsidRPr="00E0193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нің директоры</w:t>
            </w:r>
          </w:p>
        </w:tc>
        <w:tc>
          <w:tcPr>
            <w:tcW w:w="2505" w:type="dxa"/>
            <w:vAlign w:val="center"/>
          </w:tcPr>
          <w:p w14:paraId="1853F9B5" w14:textId="77777777" w:rsidR="007D6D0C" w:rsidRPr="00864216" w:rsidRDefault="007D6D0C" w:rsidP="002F02FE">
            <w:pPr>
              <w:spacing w:after="0" w:line="252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  <w:hideMark/>
          </w:tcPr>
          <w:p w14:paraId="689F54BE" w14:textId="77777777" w:rsidR="007D6D0C" w:rsidRPr="00864216" w:rsidRDefault="007D6D0C" w:rsidP="002F02FE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4216">
              <w:rPr>
                <w:rFonts w:ascii="Times New Roman" w:eastAsia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864216">
              <w:rPr>
                <w:rFonts w:ascii="Times New Roman" w:eastAsia="Times New Roman" w:hAnsi="Times New Roman"/>
                <w:sz w:val="28"/>
                <w:szCs w:val="28"/>
              </w:rPr>
              <w:t>Дәуренбеков</w:t>
            </w:r>
            <w:proofErr w:type="spellEnd"/>
          </w:p>
        </w:tc>
      </w:tr>
      <w:bookmarkEnd w:id="2"/>
    </w:tbl>
    <w:p w14:paraId="0E2BE5F1" w14:textId="77777777" w:rsidR="007D6D0C" w:rsidRPr="002F02FE" w:rsidRDefault="007D6D0C" w:rsidP="007D6D0C">
      <w:pPr>
        <w:ind w:firstLine="720"/>
        <w:rPr>
          <w:sz w:val="28"/>
          <w:szCs w:val="28"/>
        </w:rPr>
      </w:pPr>
    </w:p>
    <w:p w14:paraId="3EC5CAC4" w14:textId="77777777" w:rsidR="00862F26" w:rsidRPr="007D6D0C" w:rsidRDefault="00862F26" w:rsidP="007D6D0C"/>
    <w:sectPr w:rsidR="00862F26" w:rsidRPr="007D6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ДПО" w:date="2023-01-06T12:08:00Z" w:initials="ДПО">
    <w:p w14:paraId="45210E9D" w14:textId="77777777" w:rsidR="007D6D0C" w:rsidRPr="00567E0E" w:rsidRDefault="007D6D0C" w:rsidP="007D6D0C">
      <w:pPr>
        <w:pStyle w:val="a5"/>
        <w:rPr>
          <w:lang w:val="ru-RU"/>
        </w:rPr>
      </w:pPr>
      <w:r>
        <w:rPr>
          <w:rStyle w:val="a4"/>
        </w:rPr>
        <w:annotationRef/>
      </w:r>
      <w:r w:rsidRPr="00567E0E">
        <w:rPr>
          <w:lang w:val="ru-RU"/>
        </w:rPr>
        <w:t>Нужно обозначить кому принадлежит паркинг.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210E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B8A9" w16cex:dateUtc="2023-01-06T06:22:00Z"/>
  <w16cex:commentExtensible w16cex:durableId="2767B8A8" w16cex:dateUtc="2023-01-06T06:08:00Z"/>
  <w16cex:commentExtensible w16cex:durableId="2767B8A7" w16cex:dateUtc="2023-01-06T0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24312" w16cid:durableId="2767B8A9"/>
  <w16cid:commentId w16cid:paraId="3C35376A" w16cid:durableId="2767B87B"/>
  <w16cid:commentId w16cid:paraId="609BBCBD" w16cid:durableId="2767B8A8"/>
  <w16cid:commentId w16cid:paraId="51A499B1" w16cid:durableId="2767B8A7"/>
  <w16cid:commentId w16cid:paraId="32A8FEE2" w16cid:durableId="2766B2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DF"/>
    <w:multiLevelType w:val="hybridMultilevel"/>
    <w:tmpl w:val="3834A95A"/>
    <w:lvl w:ilvl="0" w:tplc="E13EB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FC6B68"/>
    <w:multiLevelType w:val="hybridMultilevel"/>
    <w:tmpl w:val="C70E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C3C"/>
    <w:multiLevelType w:val="hybridMultilevel"/>
    <w:tmpl w:val="79E247FC"/>
    <w:lvl w:ilvl="0" w:tplc="092A076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445FB1"/>
    <w:multiLevelType w:val="hybridMultilevel"/>
    <w:tmpl w:val="8CF4E45C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F88008B"/>
    <w:multiLevelType w:val="hybridMultilevel"/>
    <w:tmpl w:val="778EFA74"/>
    <w:lvl w:ilvl="0" w:tplc="0B58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33669C"/>
    <w:multiLevelType w:val="hybridMultilevel"/>
    <w:tmpl w:val="43D6B4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ПО">
    <w15:presenceInfo w15:providerId="None" w15:userId="ДП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26"/>
    <w:rsid w:val="0001228D"/>
    <w:rsid w:val="00195C43"/>
    <w:rsid w:val="0020112A"/>
    <w:rsid w:val="00226A0D"/>
    <w:rsid w:val="002516AD"/>
    <w:rsid w:val="002E6657"/>
    <w:rsid w:val="00326294"/>
    <w:rsid w:val="0035076C"/>
    <w:rsid w:val="0037007B"/>
    <w:rsid w:val="003B7AF3"/>
    <w:rsid w:val="003F057C"/>
    <w:rsid w:val="004138ED"/>
    <w:rsid w:val="005739A8"/>
    <w:rsid w:val="00581BF6"/>
    <w:rsid w:val="00630179"/>
    <w:rsid w:val="006A046E"/>
    <w:rsid w:val="006B2419"/>
    <w:rsid w:val="00770B26"/>
    <w:rsid w:val="007A626C"/>
    <w:rsid w:val="007D6D0C"/>
    <w:rsid w:val="007E763B"/>
    <w:rsid w:val="00862F26"/>
    <w:rsid w:val="00907479"/>
    <w:rsid w:val="0092428C"/>
    <w:rsid w:val="00930A14"/>
    <w:rsid w:val="009766C9"/>
    <w:rsid w:val="009F14E7"/>
    <w:rsid w:val="00A44689"/>
    <w:rsid w:val="00A84B2E"/>
    <w:rsid w:val="00B23BAA"/>
    <w:rsid w:val="00BC3F67"/>
    <w:rsid w:val="00BF11CF"/>
    <w:rsid w:val="00CF0F9D"/>
    <w:rsid w:val="00D03378"/>
    <w:rsid w:val="00DA6B8F"/>
    <w:rsid w:val="00DE3556"/>
    <w:rsid w:val="00DF14F2"/>
    <w:rsid w:val="00DF6B07"/>
    <w:rsid w:val="00DF79A7"/>
    <w:rsid w:val="00E45EF5"/>
    <w:rsid w:val="00E657CE"/>
    <w:rsid w:val="00EB40DC"/>
    <w:rsid w:val="00F04646"/>
    <w:rsid w:val="00F823BD"/>
    <w:rsid w:val="00F83410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A27A"/>
  <w15:chartTrackingRefBased/>
  <w15:docId w15:val="{CB09AC40-109C-4372-8676-D3940EF1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26"/>
    <w:pPr>
      <w:spacing w:after="200" w:line="276" w:lineRule="auto"/>
    </w:pPr>
    <w:rPr>
      <w:rFonts w:ascii="Arial" w:eastAsia="Arial" w:hAnsi="Arial" w:cs="Arial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70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2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70B2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70B2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70B26"/>
    <w:rPr>
      <w:rFonts w:ascii="Arial" w:eastAsia="Arial" w:hAnsi="Arial" w:cs="Arial"/>
      <w:sz w:val="20"/>
      <w:szCs w:val="20"/>
      <w:lang w:val="en-US"/>
    </w:rPr>
  </w:style>
  <w:style w:type="paragraph" w:customStyle="1" w:styleId="2">
    <w:name w:val="Стиль2"/>
    <w:basedOn w:val="1"/>
    <w:link w:val="20"/>
    <w:qFormat/>
    <w:rsid w:val="00770B26"/>
    <w:pPr>
      <w:spacing w:before="120" w:after="120" w:line="360" w:lineRule="auto"/>
      <w:jc w:val="center"/>
    </w:pPr>
    <w:rPr>
      <w:rFonts w:ascii="Times New Roman" w:eastAsia="Arial" w:hAnsi="Times New Roman" w:cs="Arial"/>
      <w:b/>
      <w:color w:val="auto"/>
      <w:sz w:val="24"/>
      <w:szCs w:val="40"/>
    </w:rPr>
  </w:style>
  <w:style w:type="character" w:customStyle="1" w:styleId="20">
    <w:name w:val="Стиль2 Знак"/>
    <w:basedOn w:val="a0"/>
    <w:link w:val="2"/>
    <w:rsid w:val="00770B26"/>
    <w:rPr>
      <w:rFonts w:ascii="Times New Roman" w:eastAsia="Arial" w:hAnsi="Times New Roman" w:cs="Arial"/>
      <w:b/>
      <w:sz w:val="24"/>
      <w:szCs w:val="4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70B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E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0735"/>
    <w:rPr>
      <w:rFonts w:ascii="Segoe UI" w:eastAsia="Arial" w:hAnsi="Segoe UI" w:cs="Segoe UI"/>
      <w:sz w:val="18"/>
      <w:szCs w:val="18"/>
      <w:lang w:val="en-US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2629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326294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D183-2B8E-4CA4-83A3-CAA0130A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 Искаков</dc:creator>
  <cp:keywords/>
  <dc:description/>
  <cp:lastModifiedBy>Аружан Есболганова</cp:lastModifiedBy>
  <cp:revision>2</cp:revision>
  <cp:lastPrinted>2023-01-13T06:14:00Z</cp:lastPrinted>
  <dcterms:created xsi:type="dcterms:W3CDTF">2023-03-10T09:33:00Z</dcterms:created>
  <dcterms:modified xsi:type="dcterms:W3CDTF">2023-03-10T09:33:00Z</dcterms:modified>
</cp:coreProperties>
</file>