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2022 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жылға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арналған</w:t>
      </w:r>
      <w:r>
        <w:rPr>
          <w:rFonts w:ascii="Arial" w:hAnsi="Arial" w:cs="Arial"/>
          <w:b/>
          <w:sz w:val="32"/>
          <w:szCs w:val="32"/>
          <w:u w:val="single"/>
          <w:lang w:val="en-US" w:eastAsia="ar-SA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«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QazExpoCongress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»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 ҰК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»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 АҚ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тұрақты даму саласында</w:t>
      </w: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ғы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іс-шаралар жоспарын орындау бойынша 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е</w:t>
      </w: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  <w:t xml:space="preserve">сеп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Тұрақты даму саласындағы іс-шаралар жоспары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QazExpoCongress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ҰК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АҚ Корпоративтік басқару кодексінің 174 және 176-тармақтарына сәйкес әзірленеді және бекітіледі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(</w:t>
      </w:r>
      <w:r>
        <w:rPr>
          <w:rFonts w:ascii="Arial" w:hAnsi="Arial" w:cs="Arial"/>
          <w:bCs/>
          <w:i/>
          <w:iCs/>
          <w:sz w:val="32"/>
          <w:szCs w:val="32"/>
          <w:lang w:val="kk-KZ" w:eastAsia="ar-SA"/>
        </w:rPr>
        <w:t xml:space="preserve">Қазақстан Республикасы Сауда және интеграция министрінің 2020 жылғы 14 желтоқсандағы № 288-НҚ бұйрығымен бекітілген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).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QazExpoCongress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ҰК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АҚ-ның 2022 жылға арналған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т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ұра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қты даму саласындағы іс-шаралар жоспары Директорлар кеңесінің 2021 жылғы 30 қарашадағы № 6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хаттама шешімімен бекітілген.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2022 жылы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ж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оспарда үш бағыт бойынша 17 іс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-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шара көзделген: 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-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Әлеуметтік жауапкершілік стандарттарын арттыру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;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-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2024 жылға қарай операциялық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шығын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сыздыққа қол жеткізу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; 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-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Қоғамның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ө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згеруі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  <w:t xml:space="preserve">Әлеуметтік жауапкершілік стандарттарын арттыру бойынша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әртүрлі форматтағы командалық құрушы іс - шаралар санын ұлғайту бойынша қабылданған шаралар, медициналық сақтандырумен қамтамасыз ету және қызметкерлердің біліктілігін арттыру командалық рухты қалыптастыруға ықпал етті,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«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QazExpoCongress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ҰК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АҚ (бұдан әрі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–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Қоғам) қызметінің стратегиялық бағыттарына қол жеткізу үшін уәждеме мен құзыреттілікті арттырды.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Сонымен қатар қабылданған шаралар кадрлардың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тұрақтамауына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әсер еткен жоқ. 2022 жылы персоналдың айналымы 26,4% - ға жетті, бұл жоспарлы көрсеткіштен 9,4% - ға жоғары (17%).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Жүргізілген талдауға сәйкес, негізгі қызметкерлердің кетуінің негізгі себебі-экономикалық еңбек жағдайлары неғұрлым тартымды басқа жұмысқа ауысу.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Белгіленген көрсеткішке қол жеткізу бөлігінде тұтыну шығындары мен нарықтағы өзге де қызметтердің бағаларын түзетуді ескере отырып, қызметкерлер үшін тартымды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қаржылық жағдайларды қалыптастыру маңызды дәлел болып табылады.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Осылайша, кадрлардың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тұрақтамауын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төмендету үшін іс-шаралар жоспары шеңберінде қабылданатын шаралардан басқа, қызметкерлерді ынталандырудың экономикалық шараларын қабылдау қажет.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  <w:t xml:space="preserve">«2024 жылға қарай операциялық </w:t>
      </w:r>
      <w:r>
        <w:rPr>
          <w:rFonts w:ascii="Arial" w:hAnsi="Arial" w:cs="Arial"/>
          <w:b/>
          <w:sz w:val="32"/>
          <w:szCs w:val="32"/>
          <w:lang w:val="kk-KZ" w:eastAsia="ar-SA"/>
        </w:rPr>
        <w:t xml:space="preserve">шығын</w:t>
      </w:r>
      <w:r>
        <w:rPr>
          <w:rFonts w:ascii="Arial" w:hAnsi="Arial" w:cs="Arial"/>
          <w:b/>
          <w:sz w:val="32"/>
          <w:szCs w:val="32"/>
          <w:lang w:val="kk-KZ" w:eastAsia="ar-SA"/>
        </w:rPr>
        <w:t xml:space="preserve">сыздыққа қол жеткізу»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бағыты бойынша іске асырылған іс-шаралар, атап айтқанда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оғамның бизнес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процестерін автоматтандыру және оңтайландыру, жабдық пен электр энергиясына шығындарды оңтайландыру бойынша технологияларды енгізу, сондай-ақ өтінімдерді онлайн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қабылдау бизнес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процестердің уақыт шығындары мен шығындарын қысқартуға мүмкіндік берді.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  <w:t xml:space="preserve">«Қоғамды трансформациялау»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 бағыты бойынша іске асырылған шаралар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оғам персоналының дағдылары мен қол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да бар құзыреттерін ескере отырып, бірқатар құрылымдық бөлімшелерді жинақтауға мүмкіндік берді және халықаралық іс-шаралар мен жобалау қызметін ұйымдастыру мәселелерінде бірегей кәсіби тәжірибе алған мамандардың жұмыс орындарының сақталуын қамтамасыз етті.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Cs/>
          <w:sz w:val="32"/>
          <w:szCs w:val="32"/>
          <w:lang w:val="kk-KZ" w:eastAsia="ar-SA"/>
        </w:rPr>
      </w:pP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Сонымен қатар кейіннен алынған құзыреттер 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Қ</w:t>
      </w:r>
      <w:r>
        <w:rPr>
          <w:rFonts w:ascii="Arial" w:hAnsi="Arial" w:cs="Arial"/>
          <w:bCs/>
          <w:sz w:val="32"/>
          <w:szCs w:val="32"/>
          <w:lang w:val="kk-KZ" w:eastAsia="ar-SA"/>
        </w:rPr>
        <w:t xml:space="preserve">оғамға халықаралық желі бойынша және ұйымдық құрылымның мақсатты моделін құруда табысты жұмысты жалғастыруға мүмкіндік беретінін атап өткен жөн.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  <w:t xml:space="preserve">Қоғамның орнықты дамуы саласындағы 2022 жылғы іс-шаралар жоспары толық көлемде орындалды және «QazExpoCongress» ҰК» АҚ Директорлар кеңесінің 2023 жылғы 09 ақпандағы №1 шешімімен бекітілді.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  <w:t xml:space="preserve">Тұра</w:t>
      </w:r>
      <w:r>
        <w:rPr>
          <w:rFonts w:ascii="Arial" w:hAnsi="Arial" w:cs="Arial"/>
          <w:b/>
          <w:sz w:val="32"/>
          <w:szCs w:val="32"/>
          <w:lang w:val="kk-KZ" w:eastAsia="ar-SA"/>
        </w:rPr>
        <w:t xml:space="preserve">қты даму саласындағы 2023 жылға арналған іс-шаралар жоспары Директорлар кеңесінің 2022 жылғы 21 желтоқсандағы №8 хаттамалық шешімімен бекітілген.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/>
          <w:sz w:val="24"/>
          <w:szCs w:val="24"/>
          <w:lang w:val="kk-KZ" w:eastAsia="ar-SA"/>
        </w:rPr>
      </w:pPr>
      <w:r>
        <w:rPr>
          <w:rFonts w:ascii="Arial" w:hAnsi="Arial" w:cs="Arial"/>
          <w:b/>
          <w:sz w:val="24"/>
          <w:szCs w:val="24"/>
          <w:lang w:val="kk-KZ" w:eastAsia="ar-SA"/>
        </w:rPr>
        <w:t xml:space="preserve">Компания жылдық есептің бөлігі ретінде тұрақты даму нәтижелері туралы ақпаратты жариялайды.</w:t>
      </w:r>
      <w:r/>
    </w:p>
    <w:p>
      <w:pPr>
        <w:contextualSpacing w:val="true"/>
        <w:ind w:left="-142" w:firstLine="709"/>
        <w:jc w:val="both"/>
        <w:spacing w:lineRule="auto" w:line="240" w:after="0"/>
        <w:rPr>
          <w:rFonts w:ascii="Arial" w:hAnsi="Arial" w:cs="Arial"/>
          <w:b/>
          <w:sz w:val="32"/>
          <w:szCs w:val="32"/>
          <w:lang w:val="kk-KZ" w:eastAsia="ar-SA"/>
        </w:rPr>
      </w:pPr>
      <w:r>
        <w:rPr>
          <w:rFonts w:ascii="Arial" w:hAnsi="Arial" w:cs="Arial"/>
          <w:b/>
          <w:sz w:val="32"/>
          <w:szCs w:val="32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val="kk-KZ" w:eastAsia="ar-SA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ar-SA"/>
        </w:rPr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О</w:t>
      </w:r>
      <w:r>
        <w:rPr>
          <w:rFonts w:ascii="Arial" w:hAnsi="Arial" w:cs="Arial"/>
          <w:b/>
          <w:sz w:val="32"/>
          <w:szCs w:val="32"/>
          <w:u w:val="single"/>
          <w:lang w:eastAsia="ar-SA"/>
        </w:rPr>
        <w:t xml:space="preserve">тчет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по исполнению Плана мероприятий 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 области устойчивого развития</w:t>
      </w:r>
      <w:r/>
    </w:p>
    <w:p>
      <w:pPr>
        <w:contextualSpacing w:val="true"/>
        <w:ind w:left="-142" w:firstLine="709"/>
        <w:jc w:val="center"/>
        <w:spacing w:lineRule="auto" w:line="240" w:after="0"/>
        <w:rPr>
          <w:rFonts w:ascii="Arial" w:hAnsi="Arial" w:cs="Arial"/>
          <w:b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bookmarkStart w:id="0" w:name="_Hlk140135605"/>
      <w:r>
        <w:rPr>
          <w:rFonts w:ascii="Arial" w:hAnsi="Arial" w:cs="Arial"/>
          <w:b/>
          <w:sz w:val="32"/>
          <w:szCs w:val="32"/>
          <w:u w:val="single"/>
        </w:rPr>
        <w:t xml:space="preserve">АО «НК «QazExpoCongress»</w:t>
      </w:r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за 202</w:t>
      </w:r>
      <w:r>
        <w:rPr>
          <w:rFonts w:ascii="Arial" w:hAnsi="Arial" w:cs="Arial"/>
          <w:b/>
          <w:sz w:val="32"/>
          <w:szCs w:val="32"/>
          <w:u w:val="single"/>
        </w:rPr>
        <w:t xml:space="preserve">2</w:t>
      </w:r>
      <w:r>
        <w:rPr>
          <w:rFonts w:ascii="Arial" w:hAnsi="Arial" w:cs="Arial"/>
          <w:b/>
          <w:sz w:val="32"/>
          <w:szCs w:val="32"/>
          <w:u w:val="single"/>
        </w:rPr>
        <w:t xml:space="preserve"> год</w:t>
      </w:r>
      <w:r>
        <w:rPr>
          <w:rFonts w:ascii="Arial" w:hAnsi="Arial" w:cs="Arial"/>
          <w:b/>
          <w:sz w:val="32"/>
          <w:szCs w:val="32"/>
          <w:u w:val="single"/>
        </w:rPr>
        <w:t xml:space="preserve">.</w:t>
      </w:r>
      <w:r/>
    </w:p>
    <w:p>
      <w:pPr>
        <w:contextualSpacing w:val="true"/>
        <w:ind w:left="-142" w:firstLine="708"/>
        <w:jc w:val="both"/>
        <w:spacing w:lineRule="auto" w:line="360"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contextualSpacing w:val="true"/>
        <w:ind w:firstLine="708"/>
        <w:jc w:val="both"/>
        <w:spacing w:lineRule="auto" w:line="360" w:after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План мероприятий в области устойчивого развития разрабатывается и утверждается в соответствии с пунктами 174 и 176 Кодекса корпоративного управления АО «НК «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QazExpoCongress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» </w:t>
      </w:r>
      <w:r>
        <w:rPr>
          <w:rFonts w:ascii="Arial" w:hAnsi="Arial" w:cs="Arial"/>
          <w:i/>
          <w:iCs/>
          <w:sz w:val="28"/>
          <w:szCs w:val="28"/>
        </w:rPr>
        <w:t xml:space="preserve">(</w:t>
      </w:r>
      <w:r>
        <w:rPr>
          <w:rFonts w:ascii="Arial" w:hAnsi="Arial" w:cs="Arial"/>
          <w:i/>
          <w:iCs/>
          <w:sz w:val="28"/>
          <w:szCs w:val="28"/>
        </w:rPr>
        <w:t xml:space="preserve">утвержден приказом Министра торговли и интеграции Республики Казахстан от 14 декабря 2020 года № 288-НҚ</w:t>
      </w:r>
      <w:r>
        <w:rPr>
          <w:rFonts w:ascii="Arial" w:hAnsi="Arial" w:cs="Arial"/>
          <w:i/>
          <w:iCs/>
          <w:sz w:val="28"/>
          <w:szCs w:val="28"/>
        </w:rPr>
        <w:t xml:space="preserve">)</w:t>
      </w:r>
      <w:r>
        <w:rPr>
          <w:rFonts w:ascii="Arial" w:hAnsi="Arial" w:cs="Arial"/>
          <w:i/>
          <w:iCs/>
          <w:sz w:val="28"/>
          <w:szCs w:val="28"/>
        </w:rPr>
        <w:t xml:space="preserve">.</w:t>
      </w:r>
      <w:r/>
    </w:p>
    <w:p>
      <w:pPr>
        <w:contextualSpacing w:val="true"/>
        <w:ind w:firstLine="708"/>
        <w:jc w:val="both"/>
        <w:spacing w:lineRule="auto" w:line="360" w:after="0"/>
        <w:rPr>
          <w:rFonts w:ascii="Arial" w:hAnsi="Arial" w:cs="Arial"/>
          <w:iCs/>
          <w:color w:val="000000"/>
          <w:sz w:val="32"/>
          <w:szCs w:val="32"/>
        </w:rPr>
      </w:pP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План мероприятий в области устойчивого развития 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АО «НК «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QazExpoCongress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»</w:t>
      </w:r>
      <w:r>
        <w:rPr>
          <w:rFonts w:ascii="Arial" w:hAnsi="Arial" w:cs="Arial"/>
          <w:iCs/>
          <w:color w:val="000000" w:themeColor="text1"/>
          <w:sz w:val="32"/>
          <w:szCs w:val="32"/>
        </w:rPr>
        <w:t xml:space="preserve"> на 2022 год утвержден решением Совета директоров от 30 ноября 2021 года протокол №6.</w:t>
      </w:r>
      <w:r/>
    </w:p>
    <w:p>
      <w:pPr>
        <w:contextualSpacing w:val="true"/>
        <w:ind w:firstLine="567"/>
        <w:jc w:val="both"/>
        <w:spacing w:lineRule="auto" w:line="360" w:after="0"/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</w:t>
      </w:r>
      <w:r>
        <w:rPr>
          <w:rFonts w:ascii="Arial" w:hAnsi="Arial" w:cs="Arial"/>
          <w:sz w:val="32"/>
          <w:szCs w:val="32"/>
        </w:rPr>
        <w:t xml:space="preserve"> 2022 год</w:t>
      </w:r>
      <w:r>
        <w:rPr>
          <w:rFonts w:ascii="Arial" w:hAnsi="Arial" w:cs="Arial"/>
          <w:sz w:val="32"/>
          <w:szCs w:val="32"/>
        </w:rPr>
        <w:t xml:space="preserve">у</w:t>
      </w:r>
      <w:r>
        <w:rPr>
          <w:rFonts w:ascii="Arial" w:hAnsi="Arial" w:cs="Arial"/>
          <w:sz w:val="32"/>
          <w:szCs w:val="32"/>
        </w:rPr>
        <w:t xml:space="preserve"> Планом было предусмотрено 17 мероприятий по трем направлениям</w:t>
      </w:r>
      <w:r>
        <w:rPr>
          <w:rFonts w:ascii="Arial" w:hAnsi="Arial" w:cs="Arial"/>
          <w:sz w:val="32"/>
          <w:szCs w:val="32"/>
        </w:rPr>
        <w:t xml:space="preserve">: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/>
    </w:p>
    <w:p>
      <w:pPr>
        <w:contextualSpacing w:val="true"/>
        <w:ind w:firstLine="567"/>
        <w:jc w:val="both"/>
        <w:spacing w:lineRule="auto" w:line="360" w:after="0"/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- </w:t>
      </w:r>
      <w:r>
        <w:rPr>
          <w:rFonts w:ascii="Arial" w:hAnsi="Arial" w:cs="Arial" w:eastAsia="Times New Roman"/>
          <w:sz w:val="32"/>
          <w:szCs w:val="32"/>
        </w:rPr>
        <w:t xml:space="preserve">«Повышение стандартов социальной ответственности»</w:t>
      </w:r>
      <w:r>
        <w:rPr>
          <w:rFonts w:ascii="Arial" w:hAnsi="Arial" w:cs="Arial" w:eastAsia="Times New Roman"/>
          <w:sz w:val="32"/>
          <w:szCs w:val="32"/>
        </w:rPr>
        <w:t xml:space="preserve">;</w:t>
      </w:r>
      <w:r/>
    </w:p>
    <w:p>
      <w:pPr>
        <w:contextualSpacing w:val="true"/>
        <w:ind w:firstLine="567"/>
        <w:jc w:val="both"/>
        <w:spacing w:lineRule="auto" w:line="360" w:after="0"/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-</w:t>
      </w:r>
      <w:r>
        <w:rPr>
          <w:rFonts w:ascii="Arial" w:hAnsi="Arial" w:cs="Arial" w:eastAsia="Times New Roman"/>
          <w:sz w:val="32"/>
          <w:szCs w:val="32"/>
        </w:rPr>
        <w:t xml:space="preserve"> «Достижение операционной безубыточности к 2024 г.»</w:t>
      </w:r>
      <w:r>
        <w:rPr>
          <w:rFonts w:ascii="Arial" w:hAnsi="Arial" w:cs="Arial"/>
          <w:sz w:val="32"/>
          <w:szCs w:val="32"/>
        </w:rPr>
        <w:t xml:space="preserve">;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/>
    </w:p>
    <w:p>
      <w:pPr>
        <w:contextualSpacing w:val="true"/>
        <w:ind w:firstLine="567"/>
        <w:jc w:val="both"/>
        <w:spacing w:lineRule="auto" w:line="360" w:after="0"/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-</w:t>
      </w:r>
      <w:r>
        <w:rPr>
          <w:rFonts w:ascii="Arial" w:hAnsi="Arial" w:cs="Arial" w:eastAsia="Times New Roman"/>
          <w:sz w:val="32"/>
          <w:szCs w:val="32"/>
        </w:rPr>
        <w:t xml:space="preserve">«Трансформация Общества»</w:t>
      </w:r>
      <w:r>
        <w:rPr>
          <w:rFonts w:ascii="Arial" w:hAnsi="Arial" w:cs="Arial"/>
          <w:sz w:val="32"/>
          <w:szCs w:val="32"/>
        </w:rPr>
        <w:t xml:space="preserve">.</w:t>
      </w:r>
      <w:r>
        <w:rPr>
          <w:rFonts w:ascii="Arial" w:hAnsi="Arial" w:cs="Arial"/>
          <w:sz w:val="32"/>
          <w:szCs w:val="32"/>
        </w:rPr>
        <w:t xml:space="preserve"> </w:t>
      </w:r>
      <w:r/>
    </w:p>
    <w:p>
      <w:pPr>
        <w:ind w:firstLine="567"/>
        <w:jc w:val="both"/>
        <w:spacing w:lineRule="auto" w:line="360" w:after="0"/>
        <w:rPr>
          <w:rFonts w:ascii="Arial" w:hAnsi="Arial" w:cs="Arial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/>
          <w:b/>
          <w:bCs/>
          <w:sz w:val="32"/>
          <w:szCs w:val="32"/>
        </w:rPr>
        <w:t xml:space="preserve">По </w:t>
      </w:r>
      <w:r>
        <w:rPr>
          <w:rFonts w:ascii="Arial" w:hAnsi="Arial" w:cs="Arial"/>
          <w:b/>
          <w:bCs/>
          <w:sz w:val="32"/>
          <w:szCs w:val="32"/>
        </w:rPr>
        <w:t xml:space="preserve">повышению стандартов социальной ответственности</w:t>
      </w:r>
      <w:r>
        <w:rPr>
          <w:rFonts w:ascii="Arial" w:hAnsi="Arial" w:cs="Arial"/>
          <w:sz w:val="32"/>
          <w:szCs w:val="32"/>
        </w:rPr>
        <w:t xml:space="preserve">,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принятые меры по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увеличению количества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командообразующих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 мероприятий различного формата,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обеспечение медицинским страхованием и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повышение квалификации сотрудников </w:t>
      </w:r>
      <w:r>
        <w:rPr>
          <w:rFonts w:ascii="Arial" w:hAnsi="Arial" w:cs="Arial"/>
          <w:sz w:val="32"/>
          <w:szCs w:val="32"/>
        </w:rPr>
        <w:t xml:space="preserve">способствовали созданию командного духа, повысили мотивацию </w:t>
      </w:r>
      <w:r>
        <w:rPr>
          <w:rFonts w:ascii="Arial" w:hAnsi="Arial" w:cs="Arial"/>
          <w:sz w:val="32"/>
          <w:szCs w:val="32"/>
        </w:rPr>
        <w:t xml:space="preserve">и компетенции </w:t>
      </w:r>
      <w:r>
        <w:rPr>
          <w:rFonts w:ascii="Arial" w:hAnsi="Arial" w:cs="Arial"/>
          <w:sz w:val="32"/>
          <w:szCs w:val="32"/>
        </w:rPr>
        <w:t xml:space="preserve">для достижения </w:t>
      </w:r>
      <w:r>
        <w:rPr>
          <w:rFonts w:ascii="Arial" w:hAnsi="Arial" w:cs="Arial"/>
          <w:sz w:val="32"/>
          <w:szCs w:val="32"/>
        </w:rPr>
        <w:t xml:space="preserve">стратегических направлений</w:t>
      </w:r>
      <w:r>
        <w:rPr>
          <w:rFonts w:ascii="Arial" w:hAnsi="Arial" w:cs="Arial"/>
          <w:sz w:val="32"/>
          <w:szCs w:val="32"/>
        </w:rPr>
        <w:t xml:space="preserve"> деятельности </w:t>
      </w:r>
      <w:r>
        <w:rPr>
          <w:rFonts w:ascii="Arial" w:hAnsi="Arial" w:cs="Arial"/>
          <w:sz w:val="32"/>
          <w:szCs w:val="32"/>
        </w:rPr>
        <w:t xml:space="preserve">АО «НК «QazExpoCongress»</w:t>
      </w:r>
      <w:r>
        <w:rPr>
          <w:rFonts w:ascii="Arial" w:hAnsi="Arial" w:cs="Arial"/>
          <w:sz w:val="32"/>
          <w:szCs w:val="32"/>
        </w:rPr>
        <w:t xml:space="preserve"> (далее - Общество)</w:t>
      </w:r>
      <w:r>
        <w:rPr>
          <w:rFonts w:ascii="Arial" w:hAnsi="Arial" w:cs="Arial"/>
          <w:sz w:val="32"/>
          <w:szCs w:val="32"/>
        </w:rPr>
        <w:t xml:space="preserve">. </w:t>
      </w:r>
      <w:r/>
    </w:p>
    <w:p>
      <w:pPr>
        <w:ind w:firstLine="567"/>
        <w:jc w:val="both"/>
        <w:spacing w:lineRule="auto" w:line="360" w:after="0"/>
        <w:rPr>
          <w:rFonts w:ascii="Arial" w:hAnsi="Arial" w:cs="Arial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/>
          <w:sz w:val="32"/>
          <w:szCs w:val="32"/>
        </w:rPr>
        <w:t xml:space="preserve">Вместе с тем</w:t>
      </w:r>
      <w:r>
        <w:rPr>
          <w:rFonts w:ascii="Arial" w:hAnsi="Arial" w:cs="Arial"/>
          <w:sz w:val="32"/>
          <w:szCs w:val="32"/>
        </w:rPr>
        <w:t xml:space="preserve">,</w:t>
      </w:r>
      <w:r>
        <w:rPr>
          <w:rFonts w:ascii="Arial" w:hAnsi="Arial" w:cs="Arial"/>
          <w:sz w:val="32"/>
          <w:szCs w:val="32"/>
        </w:rPr>
        <w:t xml:space="preserve"> принятые меры не </w:t>
      </w:r>
      <w:r>
        <w:rPr>
          <w:rFonts w:ascii="Arial" w:hAnsi="Arial" w:cs="Arial"/>
          <w:sz w:val="32"/>
          <w:szCs w:val="32"/>
        </w:rPr>
        <w:t xml:space="preserve">отразились на</w:t>
      </w:r>
      <w:r>
        <w:rPr>
          <w:rFonts w:ascii="Arial" w:hAnsi="Arial" w:cs="Arial"/>
          <w:sz w:val="32"/>
          <w:szCs w:val="32"/>
        </w:rPr>
        <w:t xml:space="preserve"> текучест</w:t>
      </w:r>
      <w:r>
        <w:rPr>
          <w:rFonts w:ascii="Arial" w:hAnsi="Arial" w:cs="Arial"/>
          <w:sz w:val="32"/>
          <w:szCs w:val="32"/>
        </w:rPr>
        <w:t xml:space="preserve">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кадров</w:t>
      </w:r>
      <w:r>
        <w:rPr>
          <w:rFonts w:ascii="Arial" w:hAnsi="Arial" w:cs="Arial"/>
          <w:sz w:val="32"/>
          <w:szCs w:val="32"/>
        </w:rPr>
        <w:t xml:space="preserve"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В </w:t>
      </w:r>
      <w:r>
        <w:rPr>
          <w:rFonts w:ascii="Arial" w:hAnsi="Arial" w:cs="Arial"/>
          <w:sz w:val="32"/>
          <w:szCs w:val="32"/>
        </w:rPr>
        <w:t xml:space="preserve">2022 году </w:t>
      </w:r>
      <w:r>
        <w:rPr>
          <w:rFonts w:ascii="Arial" w:hAnsi="Arial" w:cs="Arial"/>
          <w:sz w:val="32"/>
          <w:szCs w:val="32"/>
        </w:rPr>
        <w:t xml:space="preserve">текучесть персонала </w:t>
      </w:r>
      <w:r>
        <w:rPr>
          <w:rFonts w:ascii="Arial" w:hAnsi="Arial" w:cs="Arial"/>
          <w:sz w:val="32"/>
          <w:szCs w:val="32"/>
        </w:rPr>
        <w:t xml:space="preserve">достигла 26,4%, что на 9,4% выше планового показателя (17%)</w:t>
      </w:r>
      <w:r>
        <w:rPr>
          <w:rFonts w:ascii="Arial" w:hAnsi="Arial" w:cs="Arial"/>
          <w:sz w:val="32"/>
          <w:szCs w:val="32"/>
        </w:rPr>
        <w:t xml:space="preserve">.  </w:t>
      </w:r>
      <w:r/>
    </w:p>
    <w:p>
      <w:pPr>
        <w:ind w:firstLine="567"/>
        <w:jc w:val="both"/>
        <w:spacing w:lineRule="auto" w:line="360" w:after="0"/>
        <w:rPr>
          <w:rFonts w:ascii="Arial" w:hAnsi="Arial" w:cs="Arial" w:eastAsia="Times New Roman"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Times New Roman"/>
          <w:color w:val="000000"/>
          <w:sz w:val="32"/>
          <w:szCs w:val="32"/>
        </w:rPr>
        <w:t xml:space="preserve">Согласно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проведенному анализу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,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о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сновная причина ухода ключевых сотрудников, это переход на другую работу с более привлекательными экономическими условиями труда.</w:t>
      </w:r>
      <w:r/>
    </w:p>
    <w:p>
      <w:pPr>
        <w:ind w:firstLine="567"/>
        <w:jc w:val="both"/>
        <w:spacing w:lineRule="auto" w:line="360" w:after="0"/>
        <w:rPr>
          <w:rFonts w:ascii="Arial" w:hAnsi="Arial" w:cs="Arial" w:eastAsia="Times New Roman"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Times New Roman"/>
          <w:color w:val="000000"/>
          <w:sz w:val="32"/>
          <w:szCs w:val="32"/>
        </w:rPr>
        <w:t xml:space="preserve">Важным аргументом в части достижения обозначенного показателя, является формирование привлекательных финансовых условий для работников, с учетом корректировки цен на потребительские расходы и иные услуги на рынке. </w:t>
      </w:r>
      <w:r/>
    </w:p>
    <w:p>
      <w:pPr>
        <w:ind w:firstLine="567"/>
        <w:jc w:val="both"/>
        <w:spacing w:lineRule="auto" w:line="360" w:after="0"/>
        <w:rPr>
          <w:rFonts w:ascii="Arial" w:hAnsi="Arial" w:cs="Arial" w:eastAsia="Times New Roman"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Times New Roman"/>
          <w:color w:val="000000"/>
          <w:sz w:val="32"/>
          <w:szCs w:val="32"/>
        </w:rPr>
        <w:t xml:space="preserve">Таким образом для снижения текучести кадров</w:t>
      </w:r>
      <w:r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помимо принимаемых мер в рамках Плана мероприятий, </w:t>
      </w:r>
      <w:r>
        <w:rPr>
          <w:rFonts w:ascii="Arial" w:hAnsi="Arial" w:cs="Arial"/>
          <w:sz w:val="32"/>
          <w:szCs w:val="32"/>
        </w:rPr>
        <w:t xml:space="preserve">необходимо </w:t>
      </w:r>
      <w:r>
        <w:rPr>
          <w:rFonts w:ascii="Arial" w:hAnsi="Arial" w:cs="Arial"/>
          <w:sz w:val="32"/>
          <w:szCs w:val="32"/>
        </w:rPr>
        <w:t xml:space="preserve">принять экономические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меры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стимулировани</w:t>
      </w:r>
      <w:r>
        <w:rPr>
          <w:rFonts w:ascii="Arial" w:hAnsi="Arial" w:cs="Arial"/>
          <w:sz w:val="32"/>
          <w:szCs w:val="32"/>
          <w:lang w:val="kk-KZ"/>
        </w:rPr>
        <w:t xml:space="preserve">я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работников</w:t>
      </w:r>
      <w:r>
        <w:rPr>
          <w:rFonts w:ascii="Arial" w:hAnsi="Arial" w:cs="Arial" w:eastAsia="Times New Roman"/>
          <w:color w:val="000000"/>
          <w:sz w:val="32"/>
          <w:szCs w:val="32"/>
        </w:rPr>
        <w:t xml:space="preserve">.</w:t>
      </w:r>
      <w:r/>
    </w:p>
    <w:p>
      <w:pPr>
        <w:ind w:firstLine="567"/>
        <w:jc w:val="both"/>
        <w:spacing w:lineRule="auto" w:line="360" w:after="0"/>
        <w:tabs>
          <w:tab w:val="left" w:pos="1134" w:leader="none"/>
        </w:tabs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По направлению «</w:t>
      </w:r>
      <w:r>
        <w:rPr>
          <w:rFonts w:ascii="Arial" w:hAnsi="Arial" w:cs="Arial" w:eastAsia="Times New Roman"/>
          <w:b/>
          <w:bCs/>
          <w:sz w:val="32"/>
          <w:szCs w:val="32"/>
        </w:rPr>
        <w:t xml:space="preserve">Достижение операционной безубыточности к 2024 г.</w:t>
      </w:r>
      <w:r>
        <w:rPr>
          <w:rFonts w:ascii="Arial" w:hAnsi="Arial" w:cs="Arial" w:eastAsia="Times New Roman"/>
          <w:sz w:val="32"/>
          <w:szCs w:val="32"/>
        </w:rPr>
        <w:t xml:space="preserve">» </w:t>
      </w:r>
      <w:r>
        <w:rPr>
          <w:rFonts w:ascii="Arial" w:hAnsi="Arial" w:cs="Arial" w:eastAsia="Times New Roman"/>
          <w:sz w:val="32"/>
          <w:szCs w:val="32"/>
        </w:rPr>
        <w:t xml:space="preserve">реализован</w:t>
      </w:r>
      <w:r>
        <w:rPr>
          <w:rFonts w:ascii="Arial" w:hAnsi="Arial" w:cs="Arial" w:eastAsia="Times New Roman"/>
          <w:sz w:val="32"/>
          <w:szCs w:val="32"/>
        </w:rPr>
        <w:t xml:space="preserve">ные</w:t>
      </w:r>
      <w:r>
        <w:rPr>
          <w:rFonts w:ascii="Arial" w:hAnsi="Arial" w:cs="Arial" w:eastAsia="Times New Roman"/>
          <w:sz w:val="32"/>
          <w:szCs w:val="32"/>
        </w:rPr>
        <w:t xml:space="preserve"> мероприяти</w:t>
      </w:r>
      <w:r>
        <w:rPr>
          <w:rFonts w:ascii="Arial" w:hAnsi="Arial" w:cs="Arial" w:eastAsia="Times New Roman"/>
          <w:sz w:val="32"/>
          <w:szCs w:val="32"/>
        </w:rPr>
        <w:t xml:space="preserve">я</w:t>
      </w:r>
      <w:r>
        <w:rPr>
          <w:rFonts w:ascii="Arial" w:hAnsi="Arial" w:cs="Arial" w:eastAsia="Times New Roman"/>
          <w:sz w:val="32"/>
          <w:szCs w:val="32"/>
        </w:rPr>
        <w:t xml:space="preserve">, </w:t>
      </w:r>
      <w:r>
        <w:rPr>
          <w:rFonts w:ascii="Arial" w:hAnsi="Arial" w:cs="Arial" w:eastAsia="Times New Roman"/>
          <w:sz w:val="32"/>
          <w:szCs w:val="32"/>
        </w:rPr>
        <w:t xml:space="preserve">а именно</w:t>
      </w:r>
      <w:r>
        <w:rPr>
          <w:rFonts w:ascii="Arial" w:hAnsi="Arial" w:cs="Arial" w:eastAsia="Times New Roman"/>
          <w:sz w:val="32"/>
          <w:szCs w:val="32"/>
        </w:rPr>
        <w:t xml:space="preserve"> автоматизаци</w:t>
      </w:r>
      <w:r>
        <w:rPr>
          <w:rFonts w:ascii="Arial" w:hAnsi="Arial" w:cs="Arial" w:eastAsia="Times New Roman"/>
          <w:sz w:val="32"/>
          <w:szCs w:val="32"/>
        </w:rPr>
        <w:t xml:space="preserve">я</w:t>
      </w:r>
      <w:r>
        <w:rPr>
          <w:rFonts w:ascii="Arial" w:hAnsi="Arial" w:cs="Arial" w:eastAsia="Times New Roman"/>
          <w:sz w:val="32"/>
          <w:szCs w:val="32"/>
        </w:rPr>
        <w:t xml:space="preserve"> и оптимизаци</w:t>
      </w:r>
      <w:r>
        <w:rPr>
          <w:rFonts w:ascii="Arial" w:hAnsi="Arial" w:cs="Arial" w:eastAsia="Times New Roman"/>
          <w:sz w:val="32"/>
          <w:szCs w:val="32"/>
        </w:rPr>
        <w:t xml:space="preserve">я</w:t>
      </w:r>
      <w:r>
        <w:rPr>
          <w:rFonts w:ascii="Arial" w:hAnsi="Arial" w:cs="Arial" w:eastAsia="Times New Roman"/>
          <w:sz w:val="32"/>
          <w:szCs w:val="32"/>
        </w:rPr>
        <w:t xml:space="preserve"> бизнес-процессов Общества</w:t>
      </w:r>
      <w:r>
        <w:rPr>
          <w:rFonts w:ascii="Arial" w:hAnsi="Arial" w:cs="Arial" w:eastAsia="Times New Roman"/>
          <w:sz w:val="32"/>
          <w:szCs w:val="32"/>
        </w:rPr>
        <w:t xml:space="preserve">, </w:t>
      </w:r>
      <w:r>
        <w:rPr>
          <w:rFonts w:ascii="Arial" w:hAnsi="Arial" w:cs="Arial" w:eastAsia="Times New Roman"/>
          <w:sz w:val="32"/>
          <w:szCs w:val="32"/>
        </w:rPr>
        <w:t xml:space="preserve">внедрен</w:t>
      </w:r>
      <w:r>
        <w:rPr>
          <w:rFonts w:ascii="Arial" w:hAnsi="Arial" w:cs="Arial" w:eastAsia="Times New Roman"/>
          <w:sz w:val="32"/>
          <w:szCs w:val="32"/>
        </w:rPr>
        <w:t xml:space="preserve">и</w:t>
      </w:r>
      <w:r>
        <w:rPr>
          <w:rFonts w:ascii="Arial" w:hAnsi="Arial" w:cs="Arial" w:eastAsia="Times New Roman"/>
          <w:sz w:val="32"/>
          <w:szCs w:val="32"/>
        </w:rPr>
        <w:t xml:space="preserve">е</w:t>
      </w:r>
      <w:r>
        <w:rPr>
          <w:rFonts w:ascii="Arial" w:hAnsi="Arial" w:cs="Arial" w:eastAsia="Times New Roman"/>
          <w:sz w:val="32"/>
          <w:szCs w:val="32"/>
        </w:rPr>
        <w:t xml:space="preserve"> технологи</w:t>
      </w:r>
      <w:r>
        <w:rPr>
          <w:rFonts w:ascii="Arial" w:hAnsi="Arial" w:cs="Arial" w:eastAsia="Times New Roman"/>
          <w:sz w:val="32"/>
          <w:szCs w:val="32"/>
        </w:rPr>
        <w:t xml:space="preserve">й</w:t>
      </w:r>
      <w:r>
        <w:rPr>
          <w:rFonts w:ascii="Arial" w:hAnsi="Arial" w:cs="Arial" w:eastAsia="Times New Roman"/>
          <w:sz w:val="32"/>
          <w:szCs w:val="32"/>
        </w:rPr>
        <w:t xml:space="preserve"> по оптимизации затрат на оборудование и электричество</w:t>
      </w:r>
      <w:r>
        <w:rPr>
          <w:rFonts w:ascii="Arial" w:hAnsi="Arial" w:cs="Arial" w:eastAsia="Times New Roman"/>
          <w:sz w:val="32"/>
          <w:szCs w:val="32"/>
        </w:rPr>
        <w:t xml:space="preserve">, а также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sz w:val="32"/>
          <w:szCs w:val="32"/>
        </w:rPr>
        <w:t xml:space="preserve">онлайн</w:t>
      </w:r>
      <w:r>
        <w:rPr>
          <w:rFonts w:ascii="Arial" w:hAnsi="Arial" w:cs="Arial" w:eastAsia="Times New Roman"/>
          <w:sz w:val="32"/>
          <w:szCs w:val="32"/>
        </w:rPr>
        <w:t xml:space="preserve">-</w:t>
      </w:r>
      <w:r>
        <w:rPr>
          <w:rFonts w:ascii="Arial" w:hAnsi="Arial" w:cs="Arial" w:eastAsia="Times New Roman"/>
          <w:sz w:val="32"/>
          <w:szCs w:val="32"/>
        </w:rPr>
        <w:t xml:space="preserve">прием заявок</w:t>
      </w:r>
      <w:r>
        <w:rPr>
          <w:rFonts w:ascii="Arial" w:hAnsi="Arial" w:cs="Arial" w:eastAsia="Times New Roman"/>
          <w:sz w:val="32"/>
          <w:szCs w:val="32"/>
        </w:rPr>
        <w:t xml:space="preserve"> позволил</w:t>
      </w:r>
      <w:r>
        <w:rPr>
          <w:rFonts w:ascii="Arial" w:hAnsi="Arial" w:cs="Arial" w:eastAsia="Times New Roman"/>
          <w:sz w:val="32"/>
          <w:szCs w:val="32"/>
        </w:rPr>
        <w:t xml:space="preserve">и</w:t>
      </w:r>
      <w:r>
        <w:rPr>
          <w:rFonts w:ascii="Arial" w:hAnsi="Arial" w:cs="Arial" w:eastAsia="Times New Roman"/>
          <w:sz w:val="32"/>
          <w:szCs w:val="32"/>
        </w:rPr>
        <w:t xml:space="preserve"> сократить врем</w:t>
      </w:r>
      <w:r>
        <w:rPr>
          <w:rFonts w:ascii="Arial" w:hAnsi="Arial" w:cs="Arial" w:eastAsia="Times New Roman"/>
          <w:sz w:val="32"/>
          <w:szCs w:val="32"/>
        </w:rPr>
        <w:t xml:space="preserve">енные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sz w:val="32"/>
          <w:szCs w:val="32"/>
        </w:rPr>
        <w:t xml:space="preserve">затраты </w:t>
      </w:r>
      <w:r>
        <w:rPr>
          <w:rFonts w:ascii="Arial" w:hAnsi="Arial" w:cs="Arial" w:eastAsia="Times New Roman"/>
          <w:sz w:val="32"/>
          <w:szCs w:val="32"/>
        </w:rPr>
        <w:t xml:space="preserve">бизнес-процессов</w:t>
      </w:r>
      <w:r>
        <w:rPr>
          <w:rFonts w:ascii="Arial" w:hAnsi="Arial" w:cs="Arial" w:eastAsia="Times New Roman"/>
          <w:sz w:val="32"/>
          <w:szCs w:val="32"/>
        </w:rPr>
        <w:t xml:space="preserve"> и </w:t>
      </w:r>
      <w:r>
        <w:rPr>
          <w:rFonts w:ascii="Arial" w:hAnsi="Arial" w:cs="Arial" w:eastAsia="Times New Roman"/>
          <w:sz w:val="32"/>
          <w:szCs w:val="32"/>
        </w:rPr>
        <w:t xml:space="preserve">издержки</w:t>
      </w:r>
      <w:r>
        <w:rPr>
          <w:rFonts w:ascii="Arial" w:hAnsi="Arial" w:cs="Arial" w:eastAsia="Times New Roman"/>
          <w:sz w:val="32"/>
          <w:szCs w:val="32"/>
        </w:rPr>
        <w:t xml:space="preserve">.</w:t>
      </w:r>
      <w:r/>
    </w:p>
    <w:p>
      <w:pPr>
        <w:ind w:firstLine="567"/>
        <w:jc w:val="both"/>
        <w:spacing w:lineRule="auto" w:line="360" w:after="0"/>
        <w:tabs>
          <w:tab w:val="left" w:pos="1134" w:leader="none"/>
        </w:tabs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Реализованные меры п</w:t>
      </w:r>
      <w:r>
        <w:rPr>
          <w:rFonts w:ascii="Arial" w:hAnsi="Arial" w:cs="Arial" w:eastAsia="Times New Roman"/>
          <w:sz w:val="32"/>
          <w:szCs w:val="32"/>
        </w:rPr>
        <w:t xml:space="preserve">о направлению «</w:t>
      </w:r>
      <w:r>
        <w:rPr>
          <w:rFonts w:ascii="Arial" w:hAnsi="Arial" w:cs="Arial" w:eastAsia="Times New Roman"/>
          <w:b/>
          <w:bCs/>
          <w:sz w:val="32"/>
          <w:szCs w:val="32"/>
        </w:rPr>
        <w:t xml:space="preserve">Трансформация Общества</w:t>
      </w:r>
      <w:r>
        <w:rPr>
          <w:rFonts w:ascii="Arial" w:hAnsi="Arial" w:cs="Arial" w:eastAsia="Times New Roman"/>
          <w:sz w:val="32"/>
          <w:szCs w:val="32"/>
        </w:rPr>
        <w:t xml:space="preserve">» </w:t>
      </w:r>
      <w:r>
        <w:rPr>
          <w:rFonts w:ascii="Arial" w:hAnsi="Arial" w:cs="Arial" w:eastAsia="Times New Roman"/>
          <w:sz w:val="32"/>
          <w:szCs w:val="32"/>
        </w:rPr>
        <w:t xml:space="preserve">позволили укомплектовать ряд </w:t>
      </w:r>
      <w:r>
        <w:rPr>
          <w:rFonts w:ascii="Arial" w:hAnsi="Arial" w:cs="Arial" w:eastAsia="Times New Roman"/>
          <w:sz w:val="32"/>
          <w:szCs w:val="32"/>
        </w:rPr>
        <w:t xml:space="preserve">структурных подразделений</w:t>
      </w:r>
      <w:r>
        <w:rPr>
          <w:rFonts w:ascii="Arial" w:hAnsi="Arial" w:cs="Arial" w:eastAsia="Times New Roman"/>
          <w:sz w:val="32"/>
          <w:szCs w:val="32"/>
        </w:rPr>
        <w:t xml:space="preserve"> с учетом навыков и имеющихся компетенций у персонала Общества и обеспечили сохранение рабочих мест специалистов, получивших уникальный профессиональный </w:t>
      </w:r>
      <w:r>
        <w:rPr>
          <w:rFonts w:ascii="Arial" w:hAnsi="Arial" w:cs="Arial" w:eastAsia="Times New Roman"/>
          <w:sz w:val="32"/>
          <w:szCs w:val="32"/>
        </w:rPr>
        <w:t xml:space="preserve">опыт в вопросах организации международных мероприятий и проектной деятельности.</w:t>
      </w:r>
      <w:r/>
    </w:p>
    <w:p>
      <w:pPr>
        <w:ind w:firstLine="567"/>
        <w:jc w:val="both"/>
        <w:spacing w:lineRule="auto" w:line="360" w:after="0"/>
        <w:tabs>
          <w:tab w:val="left" w:pos="1134" w:leader="none"/>
        </w:tabs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sz w:val="32"/>
          <w:szCs w:val="32"/>
        </w:rPr>
        <w:t xml:space="preserve">Вместе с тем, важно отметить, что в последующем приобретенные компетенции позволят Обществу продолжить успешную работу по международной линии</w:t>
      </w:r>
      <w:r>
        <w:rPr>
          <w:rFonts w:ascii="Arial" w:hAnsi="Arial" w:cs="Arial" w:eastAsia="Times New Roman"/>
          <w:sz w:val="32"/>
          <w:szCs w:val="32"/>
        </w:rPr>
        <w:t xml:space="preserve"> и в построении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sz w:val="32"/>
          <w:szCs w:val="32"/>
        </w:rPr>
        <w:t xml:space="preserve">целевой модели</w:t>
      </w:r>
      <w:r>
        <w:rPr>
          <w:rFonts w:ascii="Arial" w:hAnsi="Arial" w:cs="Arial" w:eastAsia="Times New Roman"/>
          <w:sz w:val="32"/>
          <w:szCs w:val="32"/>
        </w:rPr>
        <w:t xml:space="preserve"> организационной структуры</w:t>
      </w:r>
      <w:r>
        <w:rPr>
          <w:rFonts w:ascii="Arial" w:hAnsi="Arial" w:cs="Arial" w:eastAsia="Times New Roman"/>
          <w:sz w:val="32"/>
          <w:szCs w:val="32"/>
        </w:rPr>
        <w:t xml:space="preserve">.</w:t>
      </w:r>
      <w:bookmarkStart w:id="1" w:name="_Hlk81467703"/>
      <w:r/>
      <w:r/>
    </w:p>
    <w:p>
      <w:pPr>
        <w:ind w:firstLine="567"/>
        <w:jc w:val="both"/>
        <w:spacing w:lineRule="auto" w:line="276" w:after="0"/>
        <w:tabs>
          <w:tab w:val="left" w:pos="1134" w:leader="none"/>
        </w:tabs>
        <w:rPr>
          <w:rFonts w:ascii="Arial" w:hAnsi="Arial" w:cs="Arial" w:eastAsia="Times New Roman"/>
          <w:sz w:val="32"/>
          <w:szCs w:val="32"/>
        </w:rPr>
      </w:pP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План мероприятий в области устойчивого развития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Общества за 202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2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 год исполнен в полном объеме и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утвержден решением Совета директоров АО «НК</w:t>
      </w:r>
      <w:r>
        <w:rPr>
          <w:rFonts w:ascii="Arial" w:hAnsi="Arial" w:cs="Arial" w:eastAsia="Times New Roman"/>
          <w:sz w:val="32"/>
          <w:szCs w:val="32"/>
        </w:rPr>
        <w:t xml:space="preserve"> 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«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QazExpoCongress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» от 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09 февраля 2023 года №1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.</w:t>
      </w:r>
      <w:r/>
    </w:p>
    <w:p>
      <w:pPr>
        <w:ind w:firstLine="567"/>
        <w:jc w:val="both"/>
        <w:spacing w:lineRule="auto" w:line="276" w:after="0"/>
        <w:tabs>
          <w:tab w:val="left" w:pos="1134" w:leader="none"/>
        </w:tabs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</w:pP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План мероприятий в области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 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устойчивого развития на 2023 год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, утвержден протокольным решением Совета директоров от 21 декабря 2022 года №8</w:t>
      </w: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  <w:t xml:space="preserve">.</w:t>
      </w:r>
      <w:r/>
    </w:p>
    <w:p>
      <w:pPr>
        <w:contextualSpacing w:val="true"/>
        <w:ind w:firstLine="708"/>
        <w:jc w:val="both"/>
        <w:spacing w:lineRule="auto" w:line="240" w:after="0"/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</w:pPr>
      <w:r>
        <w:rPr>
          <w:rFonts w:ascii="Arial" w:hAnsi="Arial" w:cs="Arial" w:eastAsia="Times New Roman"/>
          <w:b/>
          <w:color w:val="000000"/>
          <w:sz w:val="32"/>
          <w:szCs w:val="28"/>
          <w:lang w:bidi="ru-RU" w:eastAsia="ru-RU"/>
        </w:rPr>
      </w:r>
      <w:r/>
    </w:p>
    <w:p>
      <w:pPr>
        <w:contextualSpacing w:val="true"/>
        <w:ind w:firstLine="708"/>
        <w:jc w:val="both"/>
        <w:spacing w:lineRule="auto" w:lin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="Times New Roman"/>
          <w:b/>
          <w:color w:val="000000"/>
          <w:sz w:val="24"/>
          <w:szCs w:val="24"/>
          <w:lang w:bidi="ru-RU" w:eastAsia="ru-RU"/>
        </w:rPr>
        <w:t xml:space="preserve">Компания публикует информацию о результатах в области устойчивого развития как</w:t>
      </w:r>
      <w:r>
        <w:rPr>
          <w:rFonts w:ascii="Arial" w:hAnsi="Arial" w:cs="Arial" w:eastAsia="Times New Roman"/>
          <w:b/>
          <w:color w:val="000000"/>
          <w:sz w:val="24"/>
          <w:szCs w:val="24"/>
          <w:lang w:bidi="ru-RU" w:eastAsia="ru-RU"/>
        </w:rPr>
        <w:t xml:space="preserve"> </w:t>
      </w:r>
      <w:r>
        <w:rPr>
          <w:rFonts w:ascii="Arial" w:hAnsi="Arial" w:cs="Arial" w:eastAsia="Times New Roman"/>
          <w:b/>
          <w:color w:val="000000"/>
          <w:sz w:val="24"/>
          <w:szCs w:val="24"/>
          <w:lang w:bidi="ru-RU" w:eastAsia="ru-RU"/>
        </w:rPr>
        <w:t xml:space="preserve">часть Годового отчета.</w:t>
      </w:r>
      <w:bookmarkEnd w:id="1"/>
      <w:r/>
    </w:p>
    <w:p>
      <w:pPr>
        <w:ind w:left="-142"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cs="Times New Roman" w:eastAsia="Calibri" w:hint="default"/>
        <w:b/>
        <w:u w:val="single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7"/>
    <w:next w:val="41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7"/>
    <w:next w:val="41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7"/>
    <w:next w:val="41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7"/>
    <w:next w:val="41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7"/>
    <w:next w:val="41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7"/>
    <w:next w:val="41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7"/>
    <w:next w:val="41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7"/>
    <w:next w:val="41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7"/>
    <w:next w:val="41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7"/>
    <w:next w:val="41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8"/>
    <w:link w:val="32"/>
    <w:uiPriority w:val="10"/>
    <w:rPr>
      <w:sz w:val="48"/>
      <w:szCs w:val="48"/>
    </w:rPr>
  </w:style>
  <w:style w:type="paragraph" w:styleId="34">
    <w:name w:val="Subtitle"/>
    <w:basedOn w:val="417"/>
    <w:next w:val="41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8"/>
    <w:link w:val="34"/>
    <w:uiPriority w:val="11"/>
    <w:rPr>
      <w:sz w:val="24"/>
      <w:szCs w:val="24"/>
    </w:rPr>
  </w:style>
  <w:style w:type="paragraph" w:styleId="36">
    <w:name w:val="Quote"/>
    <w:basedOn w:val="417"/>
    <w:next w:val="41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7"/>
    <w:next w:val="41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8"/>
    <w:link w:val="40"/>
    <w:uiPriority w:val="99"/>
  </w:style>
  <w:style w:type="paragraph" w:styleId="42">
    <w:name w:val="Footer"/>
    <w:basedOn w:val="41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8"/>
    <w:link w:val="42"/>
    <w:uiPriority w:val="99"/>
  </w:style>
  <w:style w:type="paragraph" w:styleId="44">
    <w:name w:val="Caption"/>
    <w:basedOn w:val="417"/>
    <w:next w:val="4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8"/>
    <w:uiPriority w:val="99"/>
    <w:unhideWhenUsed/>
    <w:rPr>
      <w:vertAlign w:val="superscript"/>
    </w:rPr>
  </w:style>
  <w:style w:type="paragraph" w:styleId="176">
    <w:name w:val="endnote text"/>
    <w:basedOn w:val="41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8"/>
    <w:uiPriority w:val="99"/>
    <w:semiHidden/>
    <w:unhideWhenUsed/>
    <w:rPr>
      <w:vertAlign w:val="superscript"/>
    </w:rPr>
  </w:style>
  <w:style w:type="paragraph" w:styleId="179">
    <w:name w:val="toc 1"/>
    <w:basedOn w:val="417"/>
    <w:next w:val="41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7"/>
    <w:next w:val="41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7"/>
    <w:next w:val="41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7"/>
    <w:next w:val="41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7"/>
    <w:next w:val="41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7"/>
    <w:next w:val="41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7"/>
    <w:next w:val="41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7"/>
    <w:next w:val="41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7"/>
    <w:next w:val="41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7" w:default="1">
    <w:name w:val="Normal"/>
    <w:qFormat/>
  </w:style>
  <w:style w:type="character" w:styleId="418" w:default="1">
    <w:name w:val="Default Paragraph Font"/>
    <w:uiPriority w:val="1"/>
    <w:semiHidden/>
    <w:unhideWhenUsed/>
  </w:style>
  <w:style w:type="table" w:styleId="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0" w:default="1">
    <w:name w:val="No List"/>
    <w:uiPriority w:val="99"/>
    <w:semiHidden/>
    <w:unhideWhenUsed/>
  </w:style>
  <w:style w:type="paragraph" w:styleId="421">
    <w:name w:val="List Paragraph"/>
    <w:basedOn w:val="417"/>
    <w:link w:val="422"/>
    <w:qFormat/>
    <w:uiPriority w:val="34"/>
    <w:rPr>
      <w:rFonts w:ascii="Calibri" w:hAnsi="Calibri" w:cs="Times New Roman" w:eastAsia="Calibri"/>
    </w:rPr>
    <w:pPr>
      <w:contextualSpacing w:val="true"/>
      <w:ind w:left="720"/>
      <w:spacing w:lineRule="auto" w:line="276" w:after="200"/>
    </w:pPr>
  </w:style>
  <w:style w:type="character" w:styleId="422" w:customStyle="1">
    <w:name w:val="Абзац списка Знак"/>
    <w:link w:val="421"/>
    <w:uiPriority w:val="34"/>
    <w:rPr>
      <w:rFonts w:ascii="Calibri" w:hAnsi="Calibri" w:cs="Times New Roman" w:eastAsia="Calibri"/>
    </w:rPr>
  </w:style>
  <w:style w:type="paragraph" w:styleId="423">
    <w:name w:val="Balloon Text"/>
    <w:basedOn w:val="417"/>
    <w:link w:val="42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424" w:customStyle="1">
    <w:name w:val="Текст выноски Знак"/>
    <w:basedOn w:val="418"/>
    <w:link w:val="423"/>
    <w:uiPriority w:val="99"/>
    <w:semiHidden/>
    <w:rPr>
      <w:rFonts w:ascii="Segoe UI" w:hAnsi="Segoe UI" w:cs="Segoe UI"/>
      <w:sz w:val="18"/>
      <w:szCs w:val="18"/>
    </w:rPr>
  </w:style>
  <w:style w:type="paragraph" w:styleId="425">
    <w:name w:val="Revision"/>
    <w:uiPriority w:val="99"/>
    <w:hidden/>
    <w:semiHidden/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Умешбаева</dc:creator>
  <cp:keywords/>
  <dc:description/>
  <cp:lastModifiedBy>Куанышбаев М. М.</cp:lastModifiedBy>
  <cp:revision>3</cp:revision>
  <dcterms:created xsi:type="dcterms:W3CDTF">2023-07-20T12:19:00Z</dcterms:created>
  <dcterms:modified xsi:type="dcterms:W3CDTF">2023-07-25T11:15:43Z</dcterms:modified>
</cp:coreProperties>
</file>