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3941"/>
      </w:tblGrid>
      <w:tr w:rsidR="00500087" w:rsidRPr="00500087" w14:paraId="7B7100FC" w14:textId="77777777">
        <w:tc>
          <w:tcPr>
            <w:tcW w:w="5524" w:type="dxa"/>
          </w:tcPr>
          <w:p w14:paraId="167D3D01" w14:textId="77777777" w:rsidR="00B35EB4" w:rsidRPr="00500087" w:rsidRDefault="00B35EB4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3941" w:type="dxa"/>
          </w:tcPr>
          <w:p w14:paraId="5D9A16FE" w14:textId="77777777" w:rsidR="00B35EB4" w:rsidRPr="00500087" w:rsidRDefault="00B35EB4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</w:p>
        </w:tc>
      </w:tr>
      <w:tr w:rsidR="00500087" w:rsidRPr="00500087" w14:paraId="55AD2518" w14:textId="77777777">
        <w:tc>
          <w:tcPr>
            <w:tcW w:w="5524" w:type="dxa"/>
          </w:tcPr>
          <w:p w14:paraId="393FC746" w14:textId="77777777" w:rsidR="00B35EB4" w:rsidRPr="00500087" w:rsidRDefault="00B35EB4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3941" w:type="dxa"/>
          </w:tcPr>
          <w:p w14:paraId="5ECC887E" w14:textId="77777777" w:rsidR="00E56380" w:rsidRPr="00500087" w:rsidRDefault="00E56380" w:rsidP="00E56380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Приложение</w:t>
            </w:r>
          </w:p>
          <w:p w14:paraId="679D2F39" w14:textId="77777777" w:rsidR="00E56380" w:rsidRPr="00500087" w:rsidRDefault="00E56380" w:rsidP="00E56380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к решению Правления</w:t>
            </w:r>
          </w:p>
          <w:p w14:paraId="14299BAA" w14:textId="77777777" w:rsidR="00E56380" w:rsidRPr="00500087" w:rsidRDefault="00E56380" w:rsidP="00E56380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АО «НК «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QazExpoCongress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»</w:t>
            </w:r>
          </w:p>
          <w:p w14:paraId="22A8845E" w14:textId="77777777" w:rsidR="00B35EB4" w:rsidRDefault="00E56380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от «_» ___</w:t>
            </w:r>
            <w:r w:rsidR="008956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_____</w:t>
            </w: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_ 2024 года №_</w:t>
            </w:r>
            <w:r w:rsidR="008956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___</w:t>
            </w:r>
          </w:p>
          <w:p w14:paraId="1E194BA1" w14:textId="77777777" w:rsidR="00895687" w:rsidRDefault="0089568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</w:p>
          <w:p w14:paraId="059C456E" w14:textId="77777777" w:rsidR="00895687" w:rsidRDefault="0089568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</w:p>
          <w:p w14:paraId="7E721958" w14:textId="764664F7" w:rsidR="00895687" w:rsidRDefault="0089568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 xml:space="preserve">Утверждено </w:t>
            </w:r>
          </w:p>
          <w:p w14:paraId="567266D8" w14:textId="4974C77E" w:rsidR="00895687" w:rsidRDefault="00C2487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р</w:t>
            </w:r>
            <w:r w:rsidR="008956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 xml:space="preserve">ешением Правления </w:t>
            </w:r>
          </w:p>
          <w:p w14:paraId="4A3323A0" w14:textId="77777777" w:rsidR="00895687" w:rsidRPr="00500087" w:rsidRDefault="0089568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АО «НК «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QazExpoCongress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»</w:t>
            </w:r>
          </w:p>
          <w:p w14:paraId="26EA95FB" w14:textId="77777777" w:rsidR="00895687" w:rsidRDefault="0089568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</w:pP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от «_» ___</w:t>
            </w:r>
            <w: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_____</w:t>
            </w:r>
            <w:r w:rsidRPr="00500087"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  <w:t>_ 2024 года №_</w:t>
            </w:r>
            <w: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</w:rPr>
              <w:t>___</w:t>
            </w:r>
          </w:p>
          <w:p w14:paraId="1B458933" w14:textId="2AA9FD98" w:rsidR="00895687" w:rsidRPr="00895687" w:rsidRDefault="00895687" w:rsidP="00895687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</w:p>
        </w:tc>
      </w:tr>
      <w:tr w:rsidR="00500087" w:rsidRPr="00500087" w14:paraId="193C6A99" w14:textId="77777777">
        <w:tc>
          <w:tcPr>
            <w:tcW w:w="5524" w:type="dxa"/>
          </w:tcPr>
          <w:p w14:paraId="6E74F311" w14:textId="77777777" w:rsidR="00B35EB4" w:rsidRPr="00500087" w:rsidRDefault="00B35EB4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3941" w:type="dxa"/>
          </w:tcPr>
          <w:p w14:paraId="179DBBDA" w14:textId="77777777" w:rsidR="00B35EB4" w:rsidRPr="00500087" w:rsidRDefault="00B35EB4">
            <w:pPr>
              <w:rPr>
                <w:rFonts w:ascii="Times New Roman" w:eastAsia="Times New Roman" w:hAnsi="Times New Roman" w:cs="Times New Roman"/>
                <w:bCs/>
                <w:i/>
                <w:sz w:val="28"/>
                <w:szCs w:val="28"/>
                <w:lang w:val="ru-RU"/>
              </w:rPr>
            </w:pPr>
          </w:p>
        </w:tc>
      </w:tr>
      <w:tr w:rsidR="00500087" w:rsidRPr="00500087" w14:paraId="7EDE0E39" w14:textId="77777777">
        <w:tc>
          <w:tcPr>
            <w:tcW w:w="5524" w:type="dxa"/>
          </w:tcPr>
          <w:p w14:paraId="3DD21F3D" w14:textId="77777777" w:rsidR="00B35EB4" w:rsidRPr="00500087" w:rsidRDefault="00B35EB4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3941" w:type="dxa"/>
          </w:tcPr>
          <w:p w14:paraId="41052EB8" w14:textId="77777777" w:rsidR="00B35EB4" w:rsidRPr="00500087" w:rsidRDefault="00B35EB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</w:tr>
      <w:tr w:rsidR="00B35EB4" w:rsidRPr="00500087" w14:paraId="217AF989" w14:textId="77777777">
        <w:tc>
          <w:tcPr>
            <w:tcW w:w="5524" w:type="dxa"/>
          </w:tcPr>
          <w:p w14:paraId="27D4A88E" w14:textId="77777777" w:rsidR="00B35EB4" w:rsidRPr="00500087" w:rsidRDefault="00B35EB4">
            <w:pPr>
              <w:jc w:val="right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  <w:tc>
          <w:tcPr>
            <w:tcW w:w="3941" w:type="dxa"/>
          </w:tcPr>
          <w:p w14:paraId="24530F34" w14:textId="77777777" w:rsidR="00B35EB4" w:rsidRPr="00500087" w:rsidRDefault="00B35EB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ru-RU"/>
              </w:rPr>
            </w:pPr>
          </w:p>
        </w:tc>
      </w:tr>
    </w:tbl>
    <w:p w14:paraId="42AB8BC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4A1D888A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8C6AF86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Маркетинговая стратегия</w:t>
      </w:r>
    </w:p>
    <w:p w14:paraId="194854B7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акционерного общества</w:t>
      </w:r>
    </w:p>
    <w:p w14:paraId="06E6AA54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«Национальная компания</w:t>
      </w:r>
    </w:p>
    <w:p w14:paraId="5A2114AF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«</w:t>
      </w:r>
      <w:proofErr w:type="spellStart"/>
      <w:r w:rsidRPr="00500087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QazExpoCongress</w:t>
      </w:r>
      <w:proofErr w:type="spellEnd"/>
      <w:r w:rsidRPr="00500087">
        <w:rPr>
          <w:rFonts w:ascii="Times New Roman" w:eastAsia="Times New Roman" w:hAnsi="Times New Roman" w:cs="Times New Roman"/>
          <w:b/>
          <w:sz w:val="40"/>
          <w:szCs w:val="40"/>
          <w:lang w:val="ru-RU"/>
        </w:rPr>
        <w:t>»</w:t>
      </w:r>
    </w:p>
    <w:p w14:paraId="422351F2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600B789E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31F3F15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50C3E1DE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05BCE84E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B28A5F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173E65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F62A6D9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086D219C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5DAF174A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11D65E0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FD9FCBE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68C1F1F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36C9520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7A1EB41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09CAF58F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4A3B135D" w14:textId="32749134" w:rsidR="00B35EB4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г. Астана</w:t>
      </w:r>
    </w:p>
    <w:p w14:paraId="3CF350D5" w14:textId="77777777" w:rsidR="00895687" w:rsidRPr="00500087" w:rsidRDefault="00895687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5762BB43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lastRenderedPageBreak/>
        <w:t>Содержание</w:t>
      </w:r>
    </w:p>
    <w:p w14:paraId="01B6E970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612616F9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Введение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3</w:t>
      </w:r>
    </w:p>
    <w:p w14:paraId="0D4C2B86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Цели и задачи маркетинговой стратегии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3</w:t>
      </w:r>
    </w:p>
    <w:p w14:paraId="3E2E6EB9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Основная часть, Миссия, видение и стратегические направления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4</w:t>
      </w:r>
    </w:p>
    <w:p w14:paraId="165A8E25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Целевые аудитории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5</w:t>
      </w:r>
    </w:p>
    <w:p w14:paraId="2B0BDA3D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SWOT АНАЛИЗ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7</w:t>
      </w:r>
    </w:p>
    <w:p w14:paraId="00C023DD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Позиционирование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8</w:t>
      </w:r>
    </w:p>
    <w:p w14:paraId="662C969F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Позиционирование по основным целевым аудиториям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  9</w:t>
      </w:r>
    </w:p>
    <w:p w14:paraId="579B3A96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Ключевые сообщения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  <w:t xml:space="preserve">       10</w:t>
      </w:r>
    </w:p>
    <w:p w14:paraId="79237636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Интегрированные маркетинговые коммуникации </w:t>
      </w:r>
    </w:p>
    <w:p w14:paraId="607B0122" w14:textId="77777777" w:rsidR="00B35EB4" w:rsidRPr="00500087" w:rsidRDefault="00363FDA">
      <w:pPr>
        <w:pStyle w:val="af3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(каналы коммуникации)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                      10 </w:t>
      </w:r>
    </w:p>
    <w:p w14:paraId="69E75795" w14:textId="77777777" w:rsidR="00B35EB4" w:rsidRPr="00500087" w:rsidRDefault="00363FDA">
      <w:pPr>
        <w:pStyle w:val="af3"/>
        <w:numPr>
          <w:ilvl w:val="0"/>
          <w:numId w:val="10"/>
        </w:num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>Заключительная</w:t>
      </w:r>
      <w:proofErr w:type="spellEnd"/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>часть</w:t>
      </w:r>
      <w:proofErr w:type="spellEnd"/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13                                                         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ab/>
      </w:r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14:paraId="6B17CDFC" w14:textId="77777777" w:rsidR="00B35EB4" w:rsidRPr="00500087" w:rsidRDefault="00B35EB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0B463B1B" w14:textId="77777777" w:rsidR="00B35EB4" w:rsidRPr="00500087" w:rsidRDefault="00B35EB4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056265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409C5E7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5F9F0C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0096F589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A564A2F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B68B682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B2E587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5C04B2C2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B4A9B09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82A8AF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53216E95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449C2FF5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6E89E1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505111A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E6DCFE2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55CD0F34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6CD32B4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91F040C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5EB2656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92A935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1162A814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I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Введение</w:t>
      </w:r>
    </w:p>
    <w:p w14:paraId="10D6C157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9C3D15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1. Настоящая Маркетинговая стратегия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 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(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далее – Стратегия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) разработана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kk-KZ"/>
        </w:rPr>
        <w:t>в соответствии с законодательством Республики Казахстан, уставом, Кодексом корпоративного управления и иными внутренними документами АО «НК «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QazExpoCongress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» (далее – Общество). </w:t>
      </w:r>
    </w:p>
    <w:p w14:paraId="0841D870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2. Данная Стратегия определяет позиционирование, а также инструменты продвижения Общества и его объектов, и включает в себя следующие основные элементы:</w:t>
      </w:r>
    </w:p>
    <w:p w14:paraId="6118E327" w14:textId="77777777" w:rsidR="00B35EB4" w:rsidRPr="00500087" w:rsidRDefault="00363FD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цели и задачи маркетинговой стратегии;</w:t>
      </w:r>
    </w:p>
    <w:p w14:paraId="12CF3E4A" w14:textId="77777777" w:rsidR="00B35EB4" w:rsidRPr="00500087" w:rsidRDefault="00363FD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о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писание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целевой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аудитории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коммуникации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3955EAC" w14:textId="77777777" w:rsidR="00B35EB4" w:rsidRPr="00500087" w:rsidRDefault="00363FDA">
      <w:pPr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позиционирование – принципы позиционирования Общества и его объектов;</w:t>
      </w:r>
    </w:p>
    <w:p w14:paraId="045DB265" w14:textId="77777777" w:rsidR="00B35EB4" w:rsidRPr="00500087" w:rsidRDefault="00363FDA">
      <w:pPr>
        <w:numPr>
          <w:ilvl w:val="0"/>
          <w:numId w:val="8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ключевые сообщения – политика в области определения содержания и формы коммуникаций;</w:t>
      </w:r>
    </w:p>
    <w:p w14:paraId="1991923A" w14:textId="77777777" w:rsidR="00B35EB4" w:rsidRPr="00500087" w:rsidRDefault="00363FDA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к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аналы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коммуникаций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инструменты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продвижения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00A38421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C109D4A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II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Цели и задачи маркетинговой стратегии</w:t>
      </w:r>
    </w:p>
    <w:p w14:paraId="446ED54F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6AFA0A3B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3. Данная Стратегия преследует достижение следующих целей:</w:t>
      </w:r>
    </w:p>
    <w:p w14:paraId="15676961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повышение осведомленности об активностях Общества, мероприятиях, проходящих на объектах и территории делового центра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, среди целевых аудиторий;</w:t>
      </w:r>
    </w:p>
    <w:p w14:paraId="3B42701A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формирование положительного имиджа Общества и его первых руководителей;</w:t>
      </w:r>
    </w:p>
    <w:p w14:paraId="7ED36251" w14:textId="47BD3563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при</w:t>
      </w:r>
      <w:r w:rsidR="00264740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влечение населения г.</w:t>
      </w:r>
      <w:r w:rsidR="003A6927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264740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Астана для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времяпрепровождения на территории и объектах делового центра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0E6FCB91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формирование положительного имиджа делового центра ЕХРО, как символа финансового и делового хаба столицы, для привлечения крупных арендаторов и брендов;</w:t>
      </w:r>
    </w:p>
    <w:p w14:paraId="71E1432D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развитие инфраструктуры, сервисов и услуг внутри делового центра ЕХРО.</w:t>
      </w:r>
    </w:p>
    <w:p w14:paraId="69DB1CD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4.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Задачи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Стратегии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15ED675A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определение инструментов продвижения территории и объектов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среди различных целевых аудиторий;</w:t>
      </w:r>
    </w:p>
    <w:p w14:paraId="4FA2B0F9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разработка позиционирования объектов и территории делового центра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среди целевых аудиторий;</w:t>
      </w:r>
    </w:p>
    <w:p w14:paraId="2F6C3306" w14:textId="77777777" w:rsidR="00B35EB4" w:rsidRPr="00500087" w:rsidRDefault="00363FDA">
      <w:pPr>
        <w:numPr>
          <w:ilvl w:val="0"/>
          <w:numId w:val="1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выработка ключевых сообщений в соответствии с позиционированием.</w:t>
      </w:r>
    </w:p>
    <w:p w14:paraId="64EE3C9A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297CE77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34D88200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0FFFA8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273A5C7E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04FB0CA4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III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Основная часть</w:t>
      </w:r>
    </w:p>
    <w:p w14:paraId="2E20B244" w14:textId="77777777" w:rsidR="00B35EB4" w:rsidRPr="00500087" w:rsidRDefault="00B35E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763A781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5. Миссия, видение и стратегические направления Общества</w:t>
      </w:r>
    </w:p>
    <w:p w14:paraId="051DE0AD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6640F408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5.1. Общество создано в соответствии с постановлением Правительства Республики Казахстан от 15 января 2013 года №11 «О создании акционерного общества «Национальная компания «Астана ЭКСПО-2017».</w:t>
      </w:r>
    </w:p>
    <w:p w14:paraId="64DED708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Основным предметом деятельности Общества были определены подготовка и проведение Международной специализированной выставки </w:t>
      </w:r>
      <w:bookmarkStart w:id="0" w:name="_Hlk126743995"/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2017</w:t>
      </w:r>
      <w:bookmarkEnd w:id="0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 городе Астана (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 xml:space="preserve">далее – 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 xml:space="preserve"> 2017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). Основными целями создания Общества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явля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  <w:lang w:val="kk-KZ"/>
        </w:rPr>
        <w:t>ю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тся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:</w:t>
      </w:r>
    </w:p>
    <w:p w14:paraId="53EC3EF9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1) организация и проведение в городе Астане Международной специализированной выставки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kk-KZ"/>
        </w:rPr>
        <w:t>ЭКСПО -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2017;</w:t>
      </w:r>
    </w:p>
    <w:p w14:paraId="2938B3F8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2)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послевыставочное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использование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kk-KZ"/>
        </w:rPr>
        <w:t>территории международной специализированной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выставки;</w:t>
      </w:r>
    </w:p>
    <w:p w14:paraId="7F5CFEF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3)</w:t>
      </w:r>
      <w:r w:rsidRPr="00500087">
        <w:rPr>
          <w:rFonts w:ascii="Times New Roman" w:eastAsia="Times New Roman" w:hAnsi="Times New Roman" w:cs="Times New Roman"/>
          <w:bCs/>
          <w:sz w:val="24"/>
          <w:szCs w:val="24"/>
          <w:lang w:val="ru-RU"/>
        </w:rPr>
        <w:t xml:space="preserve"> 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участие в международных выставках, в том числе предусмотренных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hyperlink r:id="rId8" w:history="1">
        <w:r w:rsidRPr="00500087">
          <w:rPr>
            <w:rFonts w:ascii="Times New Roman" w:eastAsia="Times New Roman" w:hAnsi="Times New Roman" w:cs="Times New Roman"/>
            <w:bCs/>
            <w:sz w:val="28"/>
            <w:szCs w:val="28"/>
            <w:lang w:val="ru-RU"/>
          </w:rPr>
          <w:t>Конвенцией</w:t>
        </w:r>
      </w:hyperlink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> 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о международных выставках, совершенной в Париже 22 ноября 1928 года.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2DAD593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 текущему времени первая цель – подготовка и проведение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2017 достигнута, выставка успешно проведена.</w:t>
      </w:r>
    </w:p>
    <w:p w14:paraId="6E43672B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Таким образом, Общество в дальнейшем будет концентрироваться на обеспечении максимально эффективного использования и развития материальной, технологической и других составляющих наследия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2017 в интересах развития города Астана, Казахстана и мировой экономики в целом.</w:t>
      </w:r>
    </w:p>
    <w:p w14:paraId="2AD9C992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5.2.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Деловой центр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– это современный деловой кластер столицы. На его базе расположены ультрасовременный бизнес-центр класса «А», Конгресс-центр и Международный выставочный центр ЕХРО для проведения конгрессно-выставочных и торгово-выставочных мероприятий на самом высоком уровне. Выгодное расположение, шаговая доступность крупнейших торгово-развлекательных центров и отелей города, непосредственная близость к Международному аэропорту и железнодорожному вокзалу, и многие другие преимущества делают деловой центр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привлекательным местом для ведения бизнеса.</w:t>
      </w:r>
    </w:p>
    <w:p w14:paraId="00169DB7" w14:textId="1950F80F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5.3. Точкой притяжения и символом делового центра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является - </w:t>
      </w: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Музей энергии будущего, </w:t>
      </w:r>
      <w:r w:rsidR="00541C46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главное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сферическое здание и одна из ярчайших достопримечательностей столицы Казахстана.</w:t>
      </w:r>
    </w:p>
    <w:p w14:paraId="7EAD276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Музей строился как центральный павильон выставки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2017. Диаметр сферы - 80 м, высота - 100 м, </w:t>
      </w:r>
      <w:r w:rsidRPr="00500087">
        <w:rPr>
          <w:rFonts w:ascii="Times New Roman" w:eastAsia="Times New Roman" w:hAnsi="Times New Roman" w:cs="Times New Roman"/>
          <w:sz w:val="28"/>
          <w:lang w:val="ru-RU"/>
        </w:rPr>
        <w:t>полезная площадь 21 тысяч кв.м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</w:t>
      </w:r>
    </w:p>
    <w:p w14:paraId="53CCB364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После окончания выставки павильон стал работать как первый технологический музей энергии будущего в Казахстане. В здании всего восемь этажей, каждый из которых отражает интерактивные композиции, посвященные энергии космоса, солнца, ветра, биомасс, кинетической энергии и энергии воды.</w:t>
      </w:r>
    </w:p>
    <w:p w14:paraId="6F0AF43E" w14:textId="320DA628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5.4.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Конгресс-центр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– многофункциональный культурно-развлекательный объект, открывшийся в городе Астан</w:t>
      </w:r>
      <w:r w:rsidR="00DB6FFE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10 июня 2017 года. Располагает широкими возможностями для проведения международных конгрессов, форумов, конференций, симпозиумов, пленарных заседаний и панельных сессий, спортивных и культурных событий.</w:t>
      </w:r>
    </w:p>
    <w:p w14:paraId="1248E477" w14:textId="429DD047" w:rsidR="009C3581" w:rsidRPr="00500087" w:rsidRDefault="009C3581" w:rsidP="009C358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Конгресс-центр общей площадью 43 200 кв.м</w:t>
      </w:r>
      <w:r w:rsidR="00FA1F9A"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.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имеет 3 этажа, а также подземный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автопаркинг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, который рассчитан на 179 м/мест. Высота здания составляет 29 метров.</w:t>
      </w:r>
    </w:p>
    <w:p w14:paraId="1171591D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5.5.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Международный выставочный центр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 xml:space="preserve">далее – МВЦ 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) – это многофункциональная бизнес-арена для проведения крупных международных и национальных выставок, конгрессных мероприятий и других масштабных и значимых событий. </w:t>
      </w:r>
      <w:r w:rsidRPr="00500087">
        <w:rPr>
          <w:rFonts w:ascii="Times New Roman" w:eastAsia="Times New Roman" w:hAnsi="Times New Roman" w:cs="Times New Roman"/>
          <w:sz w:val="28"/>
          <w:lang w:val="kk-KZ"/>
        </w:rPr>
        <w:t>П</w:t>
      </w:r>
      <w:r w:rsidRPr="00500087">
        <w:rPr>
          <w:rFonts w:ascii="Times New Roman" w:eastAsia="Times New Roman" w:hAnsi="Times New Roman" w:cs="Times New Roman"/>
          <w:sz w:val="28"/>
          <w:lang w:val="ru-RU"/>
        </w:rPr>
        <w:t>лощадь выставочного зала составляет порядка 12 тысяч кв.м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. и позволяет адаптировать помещение под проекты любого формата и уровня сложности.</w:t>
      </w:r>
    </w:p>
    <w:p w14:paraId="447463A2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5.6. Ниже приведены миссия, видение и стратегические направления развития Общества в соответствии с Планом развития Общества на 2015-2024 годы.</w:t>
      </w:r>
    </w:p>
    <w:p w14:paraId="401F1D3C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kk-KZ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5.6.1. </w:t>
      </w: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Миссия</w:t>
      </w: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kk-KZ"/>
        </w:rPr>
        <w:t xml:space="preserve"> Общества</w:t>
      </w:r>
    </w:p>
    <w:p w14:paraId="04B16968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Создать современное деловое пространство, продвигающее передовые практики в сфере финансовой, образовательной, конгрессно-выставочной, инновационной деятельности и развитие торговой инфраструктуры в Казахстане.</w:t>
      </w:r>
    </w:p>
    <w:p w14:paraId="25256FC2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5.6.2. </w:t>
      </w: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Видение</w:t>
      </w:r>
    </w:p>
    <w:p w14:paraId="283D2910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proofErr w:type="spellStart"/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Клиентоориентированная</w:t>
      </w:r>
      <w:proofErr w:type="spellEnd"/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 организация с гибкой системой управления, предоставляющая необходимую инфраструктуру и услуги для обеспечения успешного развития товаропроводящей системы и бизнеса.</w:t>
      </w:r>
    </w:p>
    <w:p w14:paraId="4D5D1E82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>5.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6</w:t>
      </w:r>
      <w:r w:rsidRPr="00500087">
        <w:rPr>
          <w:rFonts w:ascii="Times New Roman" w:eastAsia="Times New Roman" w:hAnsi="Times New Roman" w:cs="Times New Roman"/>
          <w:bCs/>
          <w:sz w:val="28"/>
          <w:szCs w:val="28"/>
        </w:rPr>
        <w:t xml:space="preserve">.3. </w:t>
      </w:r>
      <w:proofErr w:type="spellStart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>Стратегические</w:t>
      </w:r>
      <w:proofErr w:type="spellEnd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>направления</w:t>
      </w:r>
      <w:proofErr w:type="spellEnd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>развития</w:t>
      </w:r>
      <w:proofErr w:type="spellEnd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Общества</w:t>
      </w:r>
      <w:proofErr w:type="spellEnd"/>
    </w:p>
    <w:p w14:paraId="086836F3" w14:textId="77777777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сдача офисной и торговой недвижимости в аренду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, включая коммерциализацию сервисных услуг;</w:t>
      </w:r>
    </w:p>
    <w:p w14:paraId="2110B3F6" w14:textId="77777777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проведение конгрессно-выставочных мероприятий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 на национальном и международном уровнях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18D4BA3D" w14:textId="77777777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участие в международных выставках ЕХРО, в том числе в ЭКСПО 2020 Дубай, ЭКСПО 2025 в Осака;</w:t>
      </w:r>
    </w:p>
    <w:p w14:paraId="33F96FC8" w14:textId="75FE4B0E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обеспечение функционирования </w:t>
      </w:r>
      <w:r w:rsidR="00DB6FFE"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М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узея энергии будущего;</w:t>
      </w:r>
    </w:p>
    <w:p w14:paraId="03421949" w14:textId="77777777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овышение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стандартов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ответственности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9D0BFE4" w14:textId="77777777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обеспечение достижения ключевых национальных индикаторов;</w:t>
      </w:r>
    </w:p>
    <w:p w14:paraId="785E5469" w14:textId="77777777" w:rsidR="00B35EB4" w:rsidRPr="00500087" w:rsidRDefault="00363FDA">
      <w:pPr>
        <w:numPr>
          <w:ilvl w:val="0"/>
          <w:numId w:val="2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д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остижение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операционной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sz w:val="28"/>
          <w:szCs w:val="28"/>
        </w:rPr>
        <w:t>безубыточности</w:t>
      </w:r>
      <w:proofErr w:type="spellEnd"/>
      <w:r w:rsidRPr="00500087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5D9350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08D45B89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 xml:space="preserve">IV. </w:t>
      </w:r>
      <w:proofErr w:type="spellStart"/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Целевые</w:t>
      </w:r>
      <w:proofErr w:type="spellEnd"/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аудитории</w:t>
      </w:r>
      <w:proofErr w:type="spellEnd"/>
    </w:p>
    <w:p w14:paraId="55C85243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08B6BA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6.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Целевые аудитории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(</w:t>
      </w:r>
      <w:r w:rsidRPr="00500087">
        <w:rPr>
          <w:rFonts w:ascii="Times New Roman" w:eastAsia="Times New Roman" w:hAnsi="Times New Roman" w:cs="Times New Roman"/>
          <w:i/>
          <w:iCs/>
          <w:sz w:val="28"/>
          <w:szCs w:val="28"/>
          <w:lang w:val="ru-RU"/>
        </w:rPr>
        <w:t>далее – ЦА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) маркетинговой стратегии Общества определены на основе стратегических направлений развития Общества:</w:t>
      </w:r>
    </w:p>
    <w:p w14:paraId="46569DA4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tbl>
      <w:tblPr>
        <w:tblStyle w:val="StGen0"/>
        <w:tblW w:w="9433" w:type="dxa"/>
        <w:tblInd w:w="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71"/>
        <w:gridCol w:w="4962"/>
      </w:tblGrid>
      <w:tr w:rsidR="00500087" w:rsidRPr="00500087" w14:paraId="1896B889" w14:textId="77777777">
        <w:tc>
          <w:tcPr>
            <w:tcW w:w="4471" w:type="dxa"/>
          </w:tcPr>
          <w:p w14:paraId="03EA6C88" w14:textId="77777777" w:rsidR="00B35EB4" w:rsidRPr="00500087" w:rsidRDefault="00363F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Категория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ЦА</w:t>
            </w:r>
          </w:p>
        </w:tc>
        <w:tc>
          <w:tcPr>
            <w:tcW w:w="4962" w:type="dxa"/>
          </w:tcPr>
          <w:p w14:paraId="53525514" w14:textId="77777777" w:rsidR="00B35EB4" w:rsidRPr="00500087" w:rsidRDefault="00363F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Описание</w:t>
            </w:r>
            <w:proofErr w:type="spellEnd"/>
          </w:p>
        </w:tc>
      </w:tr>
      <w:tr w:rsidR="00500087" w:rsidRPr="00895687" w14:paraId="3A88971E" w14:textId="77777777">
        <w:tc>
          <w:tcPr>
            <w:tcW w:w="4471" w:type="dxa"/>
          </w:tcPr>
          <w:p w14:paraId="69321232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Арендаторы</w:t>
            </w:r>
            <w:proofErr w:type="spellEnd"/>
          </w:p>
        </w:tc>
        <w:tc>
          <w:tcPr>
            <w:tcW w:w="4962" w:type="dxa"/>
          </w:tcPr>
          <w:p w14:paraId="40F0EB5F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Арендаторы помещений в объектах делового центра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(МФЦА,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Astana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Hub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Astana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IT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University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и т.д.);</w:t>
            </w:r>
          </w:p>
          <w:p w14:paraId="758261DE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Арендаторы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офисных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помещений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25F170FE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0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Арендаторы торговых помещений (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Line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Brew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Kakao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Dak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и т.д.).</w:t>
            </w:r>
          </w:p>
        </w:tc>
      </w:tr>
      <w:tr w:rsidR="00500087" w:rsidRPr="00500087" w14:paraId="488D40C0" w14:textId="77777777">
        <w:tc>
          <w:tcPr>
            <w:tcW w:w="4471" w:type="dxa"/>
          </w:tcPr>
          <w:p w14:paraId="251A2162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Стейкхолдеры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по направлению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конгрессно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-выставочной деятельности</w:t>
            </w:r>
          </w:p>
        </w:tc>
        <w:tc>
          <w:tcPr>
            <w:tcW w:w="4962" w:type="dxa"/>
          </w:tcPr>
          <w:p w14:paraId="767F6B04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Организаторы выставочных мероприятий, ярмарок, форумов и конгрессов;</w:t>
            </w:r>
          </w:p>
          <w:p w14:paraId="11395E0F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Участники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выставок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60DA249D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Ассоциации и организации по конг</w:t>
            </w:r>
            <w:r w:rsidR="00D65714"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рессно-выставочной деятельности;</w:t>
            </w:r>
          </w:p>
          <w:p w14:paraId="2BBB7999" w14:textId="477716AB" w:rsidR="00D65714" w:rsidRPr="00500087" w:rsidRDefault="00D65714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Общественные </w:t>
            </w:r>
            <w:r w:rsidR="00231F32"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организации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14:paraId="52349EE6" w14:textId="77777777" w:rsidR="00D65714" w:rsidRPr="00500087" w:rsidRDefault="00D65714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Международные организации; </w:t>
            </w:r>
          </w:p>
          <w:p w14:paraId="47C0BFDC" w14:textId="77777777" w:rsidR="00D65714" w:rsidRPr="00500087" w:rsidRDefault="00D65714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Аналогичные компании. </w:t>
            </w:r>
          </w:p>
        </w:tc>
      </w:tr>
      <w:tr w:rsidR="00500087" w:rsidRPr="00500087" w14:paraId="187A6C1D" w14:textId="77777777">
        <w:tc>
          <w:tcPr>
            <w:tcW w:w="4471" w:type="dxa"/>
          </w:tcPr>
          <w:p w14:paraId="6DF9D9D1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Представители медиа</w:t>
            </w:r>
          </w:p>
        </w:tc>
        <w:tc>
          <w:tcPr>
            <w:tcW w:w="4962" w:type="dxa"/>
          </w:tcPr>
          <w:p w14:paraId="25261F7D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СМИ республиканского значения;</w:t>
            </w:r>
          </w:p>
          <w:p w14:paraId="4292BBED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региональные СМИ (областные центры);</w:t>
            </w:r>
          </w:p>
          <w:p w14:paraId="124051CF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Зарубежные СМИ по направлению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конгрессно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-выставочной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kk-KZ"/>
              </w:rPr>
              <w:t>д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еятельности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14:paraId="488F3C74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Зарубежные СМИ заинтересованные в направлении сотрудничества с МБВ;</w:t>
            </w:r>
          </w:p>
          <w:p w14:paraId="3A0F0835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6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Казахстанские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блогеры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(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казахоязычные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и русскоязычные);</w:t>
            </w:r>
          </w:p>
          <w:p w14:paraId="6DBA9977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0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Городские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паблики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(</w:t>
            </w:r>
            <w:proofErr w:type="spellStart"/>
            <w:proofErr w:type="gram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sxodim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astana</w:t>
            </w:r>
            <w:proofErr w:type="spellEnd"/>
            <w:proofErr w:type="gram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,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astanovka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98 и т.д.);</w:t>
            </w:r>
          </w:p>
          <w:p w14:paraId="2A9E5D9F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0" w:hanging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Телеграм-каналы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00087" w:rsidRPr="00895687" w14:paraId="16CEA7AA" w14:textId="77777777">
        <w:tc>
          <w:tcPr>
            <w:tcW w:w="4471" w:type="dxa"/>
          </w:tcPr>
          <w:p w14:paraId="2B9255B9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Бизнес-сообщество</w:t>
            </w:r>
            <w:proofErr w:type="spellEnd"/>
          </w:p>
        </w:tc>
        <w:tc>
          <w:tcPr>
            <w:tcW w:w="4962" w:type="dxa"/>
          </w:tcPr>
          <w:p w14:paraId="27EF7519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7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Крупные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компании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корпорации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286C0039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7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Малый и средний бизнес, предприниматели;</w:t>
            </w:r>
          </w:p>
          <w:p w14:paraId="525150C4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7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Ассоциации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фонды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149442AD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7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Потенциальные арендаторы офисных и торговых помещений.</w:t>
            </w:r>
          </w:p>
        </w:tc>
      </w:tr>
      <w:tr w:rsidR="00500087" w:rsidRPr="00895687" w14:paraId="28F025D9" w14:textId="77777777">
        <w:tc>
          <w:tcPr>
            <w:tcW w:w="4471" w:type="dxa"/>
          </w:tcPr>
          <w:p w14:paraId="1102DCCF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Государственный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сектор</w:t>
            </w:r>
            <w:proofErr w:type="spellEnd"/>
          </w:p>
        </w:tc>
        <w:tc>
          <w:tcPr>
            <w:tcW w:w="4962" w:type="dxa"/>
          </w:tcPr>
          <w:p w14:paraId="35DD9F95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4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Правительство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123FDB51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4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Парламент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36CD7124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4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Министерства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027A4D32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4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Акиматы гг. Астана, Алматы, Шымкента  и областные акиматы.</w:t>
            </w:r>
          </w:p>
        </w:tc>
      </w:tr>
      <w:tr w:rsidR="00500087" w:rsidRPr="00500087" w14:paraId="4A4A3F68" w14:textId="77777777">
        <w:tc>
          <w:tcPr>
            <w:tcW w:w="4471" w:type="dxa"/>
          </w:tcPr>
          <w:p w14:paraId="1FE8AF88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Население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и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гости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столицы</w:t>
            </w:r>
            <w:proofErr w:type="spellEnd"/>
          </w:p>
        </w:tc>
        <w:tc>
          <w:tcPr>
            <w:tcW w:w="4962" w:type="dxa"/>
          </w:tcPr>
          <w:p w14:paraId="3CA2B9A4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0" w:firstLine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Жители левобережья, проживающие в пешей доступности или в 5-15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минутах езды на транспорте от территории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;</w:t>
            </w:r>
          </w:p>
          <w:p w14:paraId="49B89C1F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346"/>
              </w:tabs>
              <w:ind w:left="0" w:firstLine="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жители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других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городов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 xml:space="preserve"> РК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00087" w:rsidRPr="00895687" w14:paraId="17958764" w14:textId="77777777">
        <w:tc>
          <w:tcPr>
            <w:tcW w:w="4471" w:type="dxa"/>
          </w:tcPr>
          <w:p w14:paraId="1D6F5313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Зарубежная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аудитория</w:t>
            </w:r>
            <w:proofErr w:type="spellEnd"/>
          </w:p>
        </w:tc>
        <w:tc>
          <w:tcPr>
            <w:tcW w:w="4962" w:type="dxa"/>
          </w:tcPr>
          <w:p w14:paraId="52D2AEA8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8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Деловые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иностранные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туристы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77834A0E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8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Туристы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02BCF1ED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8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Дипломатические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миссии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  <w:p w14:paraId="2599C7DF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181"/>
              </w:tabs>
              <w:ind w:left="6" w:firstLine="2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Ассоциации и организации по конгрессно-выставочной деятельности.</w:t>
            </w:r>
          </w:p>
        </w:tc>
      </w:tr>
      <w:tr w:rsidR="00B35EB4" w:rsidRPr="00500087" w14:paraId="36EAF061" w14:textId="77777777">
        <w:tc>
          <w:tcPr>
            <w:tcW w:w="4471" w:type="dxa"/>
          </w:tcPr>
          <w:p w14:paraId="5E77B57C" w14:textId="77777777" w:rsidR="00B35EB4" w:rsidRPr="00500087" w:rsidRDefault="00363FD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Персонал</w:t>
            </w:r>
            <w:proofErr w:type="spellEnd"/>
          </w:p>
        </w:tc>
        <w:tc>
          <w:tcPr>
            <w:tcW w:w="4962" w:type="dxa"/>
          </w:tcPr>
          <w:p w14:paraId="317A2BB1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Сотрудники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Общества</w:t>
            </w:r>
            <w:proofErr w:type="spellEnd"/>
          </w:p>
        </w:tc>
      </w:tr>
    </w:tbl>
    <w:p w14:paraId="6E14933A" w14:textId="77777777" w:rsidR="00B35EB4" w:rsidRPr="00500087" w:rsidRDefault="00B35EB4" w:rsidP="003365D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660F7AE" w14:textId="77777777" w:rsidR="003365D7" w:rsidRPr="00500087" w:rsidRDefault="003365D7" w:rsidP="003365D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Стейкхолдеры –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лица, группы или организации, оказывающие существенное влияние на принимаемые Обществом решения или находящиеся под воздействием этих решений (например, работники Общества, клиенты, контрагенты и т.д.). </w:t>
      </w:r>
    </w:p>
    <w:p w14:paraId="710A9F5B" w14:textId="77777777" w:rsidR="00B35EB4" w:rsidRPr="00500087" w:rsidRDefault="00B35EB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</w:p>
    <w:p w14:paraId="3F905B66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V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 xml:space="preserve">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SWOT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-АНАЛИЗ</w:t>
      </w:r>
    </w:p>
    <w:p w14:paraId="200F1CEB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tbl>
      <w:tblPr>
        <w:tblStyle w:val="StGen1"/>
        <w:tblW w:w="9492" w:type="dxa"/>
        <w:tblInd w:w="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8"/>
        <w:gridCol w:w="4984"/>
      </w:tblGrid>
      <w:tr w:rsidR="00500087" w:rsidRPr="00500087" w14:paraId="15BB6460" w14:textId="77777777">
        <w:tc>
          <w:tcPr>
            <w:tcW w:w="4508" w:type="dxa"/>
          </w:tcPr>
          <w:p w14:paraId="7ED51412" w14:textId="77777777" w:rsidR="00B35EB4" w:rsidRPr="00500087" w:rsidRDefault="00363F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</w:t>
            </w: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(</w:t>
            </w: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strengths</w:t>
            </w: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) – Сильные стороны</w:t>
            </w:r>
          </w:p>
        </w:tc>
        <w:tc>
          <w:tcPr>
            <w:tcW w:w="4984" w:type="dxa"/>
          </w:tcPr>
          <w:p w14:paraId="4F6FF94A" w14:textId="77777777" w:rsidR="00B35EB4" w:rsidRPr="00500087" w:rsidRDefault="00363F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</w:t>
            </w: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 xml:space="preserve"> (</w:t>
            </w: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weaknesses</w:t>
            </w: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  <w:t>) – Слабые стороны</w:t>
            </w:r>
          </w:p>
        </w:tc>
      </w:tr>
      <w:tr w:rsidR="00500087" w:rsidRPr="00895687" w14:paraId="67A5DDA5" w14:textId="77777777">
        <w:tc>
          <w:tcPr>
            <w:tcW w:w="4508" w:type="dxa"/>
          </w:tcPr>
          <w:p w14:paraId="51067E35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25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Территория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– уникальна, так как является наследием выставки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2017, единственной выставки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 проходившей на территории бывшего СНГ и Центральной Азии;</w:t>
            </w:r>
          </w:p>
          <w:p w14:paraId="01248E1A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25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Универсальность территории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в том, что она объединяет как деловые объекты для бизнеса, такие как выставочные пространства, офисные и торговые помещения, так и культурно-развлекательные объекты;</w:t>
            </w:r>
          </w:p>
          <w:p w14:paraId="726C1C90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25"/>
              </w:tabs>
              <w:ind w:left="22" w:hanging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Высокая активность – арендные помещения (офисные и торговые) заполнены на 100%, резидентами делового центра являются крупные корпорации и компании, которые на постоянной основе проводят собственные деловые мероприятия. На базе КЦ и МВЦ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EXPO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на постоянной основе проводятся выставки, форумы, конгрессы и т.д.;</w:t>
            </w:r>
          </w:p>
          <w:p w14:paraId="3890A518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70"/>
              </w:tabs>
              <w:ind w:left="0"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Наличие контента для освещения и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коммуницирования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– на территории постоянно проводятся различные деловые и культурные мероприятия, которые служат информационным поводом для освещения в СМИ;</w:t>
            </w:r>
          </w:p>
          <w:p w14:paraId="201A5493" w14:textId="77777777" w:rsidR="00B35EB4" w:rsidRPr="00500087" w:rsidRDefault="00363FDA">
            <w:pPr>
              <w:numPr>
                <w:ilvl w:val="0"/>
                <w:numId w:val="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tabs>
                <w:tab w:val="left" w:pos="270"/>
              </w:tabs>
              <w:ind w:left="0" w:firstLine="2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Поддержка со стороны госсектора, так как Общество является подведомственной организацией Министерства торговли и интеграции РК.</w:t>
            </w:r>
          </w:p>
        </w:tc>
        <w:tc>
          <w:tcPr>
            <w:tcW w:w="4984" w:type="dxa"/>
          </w:tcPr>
          <w:p w14:paraId="2D2B507D" w14:textId="673CCEDC" w:rsidR="00B35EB4" w:rsidRPr="00500087" w:rsidRDefault="00363FDA">
            <w:pPr>
              <w:numPr>
                <w:ilvl w:val="0"/>
                <w:numId w:val="6"/>
              </w:numP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 xml:space="preserve">Отсутствие </w:t>
            </w:r>
            <w:r w:rsidR="00500087"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у ЦА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единого </w:t>
            </w:r>
            <w:proofErr w:type="spellStart"/>
            <w:proofErr w:type="gram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позициони-рования</w:t>
            </w:r>
            <w:proofErr w:type="spellEnd"/>
            <w:proofErr w:type="gram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объектов делового центра ЕХРО и деятельности Общества;</w:t>
            </w:r>
            <w:r w:rsidR="00500087" w:rsidRPr="008956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  <w:p w14:paraId="71BB9104" w14:textId="77777777" w:rsidR="00B35EB4" w:rsidRPr="00500087" w:rsidRDefault="00363FDA">
            <w:pPr>
              <w:numPr>
                <w:ilvl w:val="0"/>
                <w:numId w:val="6"/>
              </w:numP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Отсутствие четких ключевых сообщений для ЦА;</w:t>
            </w:r>
          </w:p>
          <w:p w14:paraId="43B73CD7" w14:textId="77777777" w:rsidR="00B35EB4" w:rsidRPr="00500087" w:rsidRDefault="00363FDA">
            <w:pPr>
              <w:numPr>
                <w:ilvl w:val="0"/>
                <w:numId w:val="6"/>
              </w:numP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Недостаточное (неубедительное) коммуницирование информации, касающейся проблемных сторон проектов Общества (окупаемость, использование объектов после выставки).</w:t>
            </w:r>
          </w:p>
        </w:tc>
      </w:tr>
      <w:tr w:rsidR="00500087" w:rsidRPr="00500087" w14:paraId="2B146084" w14:textId="77777777">
        <w:tc>
          <w:tcPr>
            <w:tcW w:w="4508" w:type="dxa"/>
          </w:tcPr>
          <w:p w14:paraId="6134DF1A" w14:textId="77777777" w:rsidR="00B35EB4" w:rsidRPr="00500087" w:rsidRDefault="00363F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O (opportunities) –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возможности</w:t>
            </w:r>
            <w:proofErr w:type="spellEnd"/>
          </w:p>
        </w:tc>
        <w:tc>
          <w:tcPr>
            <w:tcW w:w="4984" w:type="dxa"/>
          </w:tcPr>
          <w:p w14:paraId="445FD252" w14:textId="77777777" w:rsidR="00B35EB4" w:rsidRPr="00500087" w:rsidRDefault="00363FD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T (threats) –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угрозы</w:t>
            </w:r>
            <w:proofErr w:type="spellEnd"/>
          </w:p>
        </w:tc>
      </w:tr>
      <w:tr w:rsidR="00B35EB4" w:rsidRPr="00895687" w14:paraId="175A31F1" w14:textId="77777777">
        <w:tc>
          <w:tcPr>
            <w:tcW w:w="4508" w:type="dxa"/>
          </w:tcPr>
          <w:p w14:paraId="47C781CB" w14:textId="77777777" w:rsidR="00B35EB4" w:rsidRPr="00500087" w:rsidRDefault="00363FDA">
            <w:pPr>
              <w:numPr>
                <w:ilvl w:val="0"/>
                <w:numId w:val="7"/>
              </w:numPr>
              <w:tabs>
                <w:tab w:val="left" w:pos="255"/>
              </w:tabs>
              <w:ind w:left="22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>Возможность наглядной демонстрации процессов, достижений, результатов;</w:t>
            </w:r>
          </w:p>
          <w:p w14:paraId="4BCB1A6B" w14:textId="77777777" w:rsidR="00B35EB4" w:rsidRPr="00500087" w:rsidRDefault="00363FDA">
            <w:pPr>
              <w:numPr>
                <w:ilvl w:val="0"/>
                <w:numId w:val="7"/>
              </w:numPr>
              <w:tabs>
                <w:tab w:val="left" w:pos="255"/>
              </w:tabs>
              <w:ind w:left="22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>Возможность выстроить единое позиционирование деятельности Общества среди ЦА.</w:t>
            </w:r>
          </w:p>
        </w:tc>
        <w:tc>
          <w:tcPr>
            <w:tcW w:w="4984" w:type="dxa"/>
          </w:tcPr>
          <w:p w14:paraId="49C15443" w14:textId="77777777" w:rsidR="00B35EB4" w:rsidRPr="00500087" w:rsidRDefault="00363FDA">
            <w:pPr>
              <w:numPr>
                <w:ilvl w:val="0"/>
                <w:numId w:val="3"/>
              </w:numP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>Наличие сильных конкурентов (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Mega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Silk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 xml:space="preserve"> 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Way</w:t>
            </w: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>);</w:t>
            </w:r>
          </w:p>
          <w:p w14:paraId="18CA5C91" w14:textId="77777777" w:rsidR="00B35EB4" w:rsidRPr="00500087" w:rsidRDefault="00363FDA">
            <w:pPr>
              <w:numPr>
                <w:ilvl w:val="0"/>
                <w:numId w:val="3"/>
              </w:numP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>Негативное восприятие деятельности Общества/бренда ЕХРО среди определенных ЦА;</w:t>
            </w:r>
          </w:p>
          <w:p w14:paraId="264DF26E" w14:textId="77777777" w:rsidR="00B35EB4" w:rsidRPr="00500087" w:rsidRDefault="00363FDA">
            <w:pPr>
              <w:numPr>
                <w:ilvl w:val="0"/>
                <w:numId w:val="3"/>
              </w:numPr>
              <w:tabs>
                <w:tab w:val="left" w:pos="211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  <w:lang w:val="ru-RU"/>
              </w:rPr>
              <w:t>ЧП на объектах, скандалы с участием подрядчиков, поставщиков Общества.</w:t>
            </w:r>
          </w:p>
        </w:tc>
      </w:tr>
    </w:tbl>
    <w:p w14:paraId="7A3AA511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36DB780F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VI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Позиционирование</w:t>
      </w:r>
    </w:p>
    <w:p w14:paraId="1C99AD18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62229213" w14:textId="77777777" w:rsidR="00500087" w:rsidRDefault="00363FD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 xml:space="preserve">7.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АО «НК «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QazExpoCongress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»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– компания, которая занимается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 управление</w:t>
      </w:r>
      <w:r w:rsidR="00884433"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м, 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развитием</w:t>
      </w:r>
      <w:r w:rsidR="00884433"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 и продвижение</w:t>
      </w:r>
      <w:r w:rsidR="001D3338"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м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 территории делового центра ЕХРО</w:t>
      </w:r>
      <w:r w:rsidR="00884433"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>.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 </w:t>
      </w:r>
    </w:p>
    <w:p w14:paraId="6F0343EB" w14:textId="634AC56E" w:rsidR="001301A7" w:rsidRPr="00500087" w:rsidRDefault="00500087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ab/>
      </w:r>
      <w:r w:rsidR="00884433"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Это самая современная деловая площадка в Казахстане для проведения деловых и культурно-образовательных мероприятий любого масштаба и формата – выставок, форумов, спортивных и культурных событий. </w:t>
      </w:r>
    </w:p>
    <w:p w14:paraId="1B9D65B4" w14:textId="2CB93EE8" w:rsidR="003505FD" w:rsidRPr="00500087" w:rsidRDefault="003505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tabs>
          <w:tab w:val="left" w:pos="709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Располагая мультифункциональными объектами</w:t>
      </w:r>
      <w:r w:rsidR="0088443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такими как Конгресс</w:t>
      </w:r>
      <w:r w:rsidR="007D44FD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центр и М</w:t>
      </w:r>
      <w:r w:rsidR="007D44FD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еждународный выставочный центр </w:t>
      </w:r>
      <w:r w:rsidR="007D44FD"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Общество </w:t>
      </w:r>
      <w:r w:rsidR="0088443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предоставляет деловое пространство, при котором потенциальные организаторы/арендаторы </w:t>
      </w:r>
      <w:r w:rsidR="001D3338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могут проводить различные мероприятия любого формата</w:t>
      </w:r>
      <w:r w:rsidR="008967B5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государственном и международном уровне</w:t>
      </w:r>
      <w:r w:rsidR="001D3338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, укрепить свой бренд и создать положительное восприятие у посетителей.</w:t>
      </w:r>
    </w:p>
    <w:p w14:paraId="49C89C13" w14:textId="468507B2" w:rsidR="00326ACC" w:rsidRPr="00500087" w:rsidRDefault="00500087" w:rsidP="00326AC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 w:rsidRPr="008956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730FB4" w:rsidRPr="008956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части международного сотрудничества Общество является членом Всемирной Ассоциации Выставочной индустрии </w:t>
      </w:r>
      <w:r w:rsidR="00730FB4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r w:rsidR="00730FB4" w:rsidRPr="00500087">
        <w:rPr>
          <w:rFonts w:ascii="Times New Roman" w:eastAsia="Times New Roman" w:hAnsi="Times New Roman" w:cs="Times New Roman"/>
          <w:sz w:val="28"/>
          <w:szCs w:val="28"/>
        </w:rPr>
        <w:t>UFI</w:t>
      </w:r>
      <w:r w:rsidR="00730FB4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» с 2021 года, что позволяет обеспечить присутствие в мировом событийном графике конгрессно-выставочных мероприятий. 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Следовательно, тесное взаимодействие с</w:t>
      </w:r>
      <w:r w:rsidR="00326ACC" w:rsidRPr="00500087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 xml:space="preserve"> 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«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</w:rPr>
        <w:t>UFI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» позволит продвинуть М</w:t>
      </w:r>
      <w:r w:rsidR="001F47C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еждународный выставочный центр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</w:rPr>
        <w:t>EXPO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международном уровне и привлечь коммерческие мероприятия 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</w:rPr>
        <w:t>MICE</w:t>
      </w:r>
      <w:r w:rsidR="00326ACC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индустрии.</w:t>
      </w:r>
    </w:p>
    <w:p w14:paraId="15D11D0F" w14:textId="77777777" w:rsidR="00500087" w:rsidRDefault="00500087" w:rsidP="00326AC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/>
        </w:rPr>
      </w:pPr>
    </w:p>
    <w:p w14:paraId="50FA440D" w14:textId="77777777" w:rsidR="00500087" w:rsidRDefault="00500087" w:rsidP="00326AC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/>
        </w:rPr>
      </w:pPr>
    </w:p>
    <w:p w14:paraId="301869E8" w14:textId="12548EE3" w:rsidR="00326ACC" w:rsidRPr="00500087" w:rsidRDefault="00326ACC" w:rsidP="00326AC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/>
        </w:rPr>
      </w:pPr>
      <w:proofErr w:type="spellStart"/>
      <w:r w:rsidRPr="00500087"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/>
        </w:rPr>
        <w:lastRenderedPageBreak/>
        <w:t>Справочно</w:t>
      </w:r>
      <w:proofErr w:type="spellEnd"/>
      <w:r w:rsidRPr="00500087">
        <w:rPr>
          <w:rFonts w:ascii="Times New Roman" w:eastAsia="Times New Roman" w:hAnsi="Times New Roman" w:cs="Times New Roman"/>
          <w:i/>
          <w:sz w:val="28"/>
          <w:szCs w:val="28"/>
          <w:u w:val="single"/>
          <w:lang w:val="ru-RU"/>
        </w:rPr>
        <w:t>:</w:t>
      </w:r>
    </w:p>
    <w:p w14:paraId="33A3BD6D" w14:textId="77777777" w:rsidR="00326ACC" w:rsidRPr="00500087" w:rsidRDefault="00326ACC" w:rsidP="00326ACC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Всемирная ассоциация выставочной индустрии «</w:t>
      </w:r>
      <w:r w:rsidRPr="00500087">
        <w:rPr>
          <w:rFonts w:ascii="Times New Roman" w:eastAsia="Times New Roman" w:hAnsi="Times New Roman" w:cs="Times New Roman"/>
          <w:i/>
          <w:sz w:val="28"/>
          <w:szCs w:val="28"/>
        </w:rPr>
        <w:t>UFI</w:t>
      </w:r>
      <w:r w:rsidRPr="00500087">
        <w:rPr>
          <w:rFonts w:ascii="Times New Roman" w:eastAsia="Times New Roman" w:hAnsi="Times New Roman" w:cs="Times New Roman"/>
          <w:i/>
          <w:sz w:val="28"/>
          <w:szCs w:val="28"/>
          <w:lang w:val="ru-RU"/>
        </w:rPr>
        <w:t>» является крупнейшей и наиболее авторитетной некоммерческой организацией, объединяющая международные и национальные выставочные ассоциации, компании и мероприятия.</w:t>
      </w:r>
    </w:p>
    <w:p w14:paraId="33D3BAC9" w14:textId="7B54D321" w:rsidR="00B35EB4" w:rsidRPr="00500087" w:rsidRDefault="00363FDA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7.</w:t>
      </w:r>
      <w:r w:rsidR="00326ACC" w:rsidRPr="0050008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1</w:t>
      </w:r>
      <w:r w:rsidRPr="00500087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. </w:t>
      </w:r>
      <w:r w:rsidRPr="00500087">
        <w:rPr>
          <w:rFonts w:ascii="Times New Roman" w:eastAsia="Times New Roman" w:hAnsi="Times New Roman" w:cs="Times New Roman"/>
          <w:b/>
          <w:iCs/>
          <w:sz w:val="28"/>
          <w:szCs w:val="28"/>
          <w:highlight w:val="white"/>
          <w:lang w:val="ru-RU"/>
        </w:rPr>
        <w:t>Д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highlight w:val="white"/>
          <w:lang w:val="ru-RU"/>
        </w:rPr>
        <w:t>еловой центр ЕХРО</w:t>
      </w:r>
      <w:r w:rsidRPr="00500087">
        <w:rPr>
          <w:rFonts w:ascii="Times New Roman" w:eastAsia="Times New Roman" w:hAnsi="Times New Roman" w:cs="Times New Roman"/>
          <w:sz w:val="28"/>
          <w:szCs w:val="28"/>
          <w:highlight w:val="white"/>
          <w:lang w:val="ru-RU"/>
        </w:rPr>
        <w:t xml:space="preserve"> – одним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из приоритетных условий успешной реализации идеи создания делового центра ЕХРО является создание комфортных условий жизни и работы для арендаторов и посетителей. В связи с этим территория должна восприниматься не только как удобное место для ведения бизнеса, но и как приятное для постоянного или временного пребывания место, предоставляющее максимально широкий спектр возможностей для отдыха и развлечений.</w:t>
      </w:r>
    </w:p>
    <w:p w14:paraId="5CB16F49" w14:textId="77777777" w:rsidR="00B35EB4" w:rsidRPr="00500087" w:rsidRDefault="00B35EB4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1E071B30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VII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Позиционирование по основным целевым аудиториям</w:t>
      </w:r>
    </w:p>
    <w:p w14:paraId="11AAC7D9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tbl>
      <w:tblPr>
        <w:tblStyle w:val="StGen2"/>
        <w:tblW w:w="9345" w:type="dxa"/>
        <w:tblInd w:w="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832"/>
      </w:tblGrid>
      <w:tr w:rsidR="00500087" w:rsidRPr="00500087" w14:paraId="3A3AE51B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C18747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Категория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ЦА</w:t>
            </w:r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F9885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Позиционирование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для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ЦА</w:t>
            </w:r>
          </w:p>
        </w:tc>
      </w:tr>
      <w:tr w:rsidR="00500087" w:rsidRPr="00895687" w14:paraId="6BCE632E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41EE5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Арендаторы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D1E1C1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Развитая инфраструктура (парковка, кафе, рестораны, услуги и сервисы)</w:t>
            </w:r>
          </w:p>
        </w:tc>
      </w:tr>
      <w:tr w:rsidR="00500087" w:rsidRPr="00895687" w14:paraId="4C05EA1E" w14:textId="77777777" w:rsidTr="00500087">
        <w:trPr>
          <w:trHeight w:val="2151"/>
        </w:trPr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BFDEA5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Стейкхолдеры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по направлению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конгрессно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-выставочной деятельности</w:t>
            </w:r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CD4612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Оказание надлежащих профессиональных услуг Общества в рамках организации и проведения КВМ на площадках, наличие необходимого оборудования (мебель, техника), высококвалифицированный персонал</w:t>
            </w:r>
          </w:p>
        </w:tc>
      </w:tr>
      <w:tr w:rsidR="00500087" w:rsidRPr="00895687" w14:paraId="1C29EB7F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368FA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Представители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EFDC3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Осведомленность и заинтересованность в освещении мероприятий и деятельности Общества</w:t>
            </w:r>
          </w:p>
        </w:tc>
      </w:tr>
      <w:tr w:rsidR="00500087" w:rsidRPr="00895687" w14:paraId="7FA56A33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3C2FD2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Бизнес-сообщество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03461C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Возможность реализации бизнеса, деловая аудитория, качественные продажи</w:t>
            </w:r>
          </w:p>
        </w:tc>
      </w:tr>
      <w:tr w:rsidR="00500087" w:rsidRPr="00895687" w14:paraId="1850BAC0" w14:textId="77777777" w:rsidTr="00541C46">
        <w:trPr>
          <w:trHeight w:val="1285"/>
        </w:trPr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E8120E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Государственный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сектор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09495F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Обеспечение высокого стандарта качества проводимых мероприятий, качественные экскурсии в Музее энергии будущего</w:t>
            </w:r>
          </w:p>
        </w:tc>
      </w:tr>
      <w:tr w:rsidR="00500087" w:rsidRPr="00895687" w14:paraId="4EC0AD3F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190754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Жители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highlight w:val="white"/>
              </w:rPr>
              <w:t>гости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столицы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3B0878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Качественное времяпрепровождение выходных и праздничных дней</w:t>
            </w:r>
          </w:p>
        </w:tc>
      </w:tr>
      <w:tr w:rsidR="00500087" w:rsidRPr="00895687" w14:paraId="0208FAFA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C338EE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Зарубежная</w:t>
            </w:r>
            <w:proofErr w:type="spellEnd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аудитория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6BE3A4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Наследие выставки ЕХРО 2017 (увлекательный контент), досуг, возможности для деловых контактов</w:t>
            </w:r>
          </w:p>
        </w:tc>
      </w:tr>
      <w:tr w:rsidR="00B35EB4" w:rsidRPr="00895687" w14:paraId="76ED896A" w14:textId="77777777">
        <w:tc>
          <w:tcPr>
            <w:tcW w:w="451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90E79E" w14:textId="77777777" w:rsidR="00B35EB4" w:rsidRPr="00500087" w:rsidRDefault="00363FD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</w:rPr>
              <w:t>Персонал</w:t>
            </w:r>
            <w:proofErr w:type="spellEnd"/>
          </w:p>
        </w:tc>
        <w:tc>
          <w:tcPr>
            <w:tcW w:w="483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1264FB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Положительный имидж бренда необходимо формировать не только для потенциальных клиентов или конкурентов, но и для сотрудников компании. Людям нравится чувствовать, что они причастны к чему-то хорошему, качественному, целостному, то есть причастны к бренду компании.</w:t>
            </w:r>
          </w:p>
          <w:p w14:paraId="7BB8ADB9" w14:textId="77777777" w:rsidR="00B35EB4" w:rsidRPr="00500087" w:rsidRDefault="00363FDA">
            <w:pPr>
              <w:widowControl w:val="0"/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00087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Единые ценности и цели о деятельности Общества. Сотрудники с большим удовольствием работают в стабильной и известной компании.</w:t>
            </w:r>
          </w:p>
        </w:tc>
      </w:tr>
    </w:tbl>
    <w:p w14:paraId="11BDA76A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33CC4362" w14:textId="77777777" w:rsidR="00B35EB4" w:rsidRPr="00500087" w:rsidRDefault="00363F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VIII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Ключевые сообщения</w:t>
      </w:r>
    </w:p>
    <w:p w14:paraId="3E41D115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DFEDB3B" w14:textId="77777777" w:rsidR="00B35EB4" w:rsidRPr="00500087" w:rsidRDefault="00363FD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8.1. Проведи свой день на ЕХРО – качественный и интересный досуг.</w:t>
      </w:r>
    </w:p>
    <w:p w14:paraId="352D6703" w14:textId="77777777" w:rsidR="00B35EB4" w:rsidRPr="00500087" w:rsidRDefault="00363FDA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8.2. Проведение мероприятий любого масштаба.</w:t>
      </w:r>
    </w:p>
    <w:p w14:paraId="29D5AC3E" w14:textId="77777777" w:rsidR="00B35EB4" w:rsidRPr="00500087" w:rsidRDefault="00363FDA">
      <w:pPr>
        <w:tabs>
          <w:tab w:val="left" w:pos="851"/>
          <w:tab w:val="left" w:pos="1276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8.3. Деловой центр ЕХРО – территория эффективного ведения и продвижения бизнеса и других инновационных проектов.</w:t>
      </w:r>
    </w:p>
    <w:p w14:paraId="053D8B50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51625CD" w14:textId="77777777" w:rsidR="00B35EB4" w:rsidRPr="00500087" w:rsidRDefault="00363FD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IX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Интегрированные маркетинговые коммуникации (каналы коммуникации)</w:t>
      </w:r>
    </w:p>
    <w:p w14:paraId="5DB4E39E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</w:p>
    <w:p w14:paraId="7F8CFC70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9.1. Основными инструментами политики продвижения услуг Общества, в том числе консалтинговых, являются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PR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прямой маркетинг. Маркетинговые коммуникации в данном случае представляют собой имидж Общества и ее голос, с помощью которого Общество может наладить контакт с потенциальным клиентом. В данном случае все структуры должны работать сообща и комплексно. В основе прямого маркетинга лежат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PR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рассылки, сайт, проведение презентаций и личные встречи, также важным аспектом является деятельность, направленная на организацию тематических мероприятий. </w:t>
      </w:r>
    </w:p>
    <w:p w14:paraId="5EBD3EEF" w14:textId="7E93BA1E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ЦА не может «подержать в руках» то, что ему предлагают: у услуг, в том числе консалтинговых, нет формы, цвета, запаха, упаковки. Потребитель по-настоящему способен оценить качество только после получения услуги. В связи с этим, клиент сталкивается с высокой неопределенностью, что обусл</w:t>
      </w:r>
      <w:r w:rsidR="007431F5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а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вливает большее количество факторов, влияющих на выбор услуг. Стремясь снизить риски, клиенты анализируют внешние признаки качества услуг, а именно: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поведение сотрудников, месторасположение офиса, качество рекламных материалов, наличие рекомендаций и др. Практически клиент сначала «покупает» компанию, и лишь потом ее услуги. Преодолеть неосязаемость можно с помощью:</w:t>
      </w:r>
    </w:p>
    <w:p w14:paraId="1D24468B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– развития бренда;</w:t>
      </w:r>
    </w:p>
    <w:p w14:paraId="13B315AB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– выработки внешней и внутренней имиджевой политики (имиджевая и сувенирная продукция, лого, слоган и др.);</w:t>
      </w:r>
    </w:p>
    <w:p w14:paraId="58530C6C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– предоставления клиентам информации о предыдущем опыте в виде отзывов;</w:t>
      </w:r>
    </w:p>
    <w:p w14:paraId="05107A22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– публикации отчетов, аналитики, обзоров и т.д.</w:t>
      </w:r>
    </w:p>
    <w:p w14:paraId="642A173B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Для того, чтобы укрепиться на рынке услуг, Общество должно обладать определенным имиджем, одной из важной составляющей которого будет профессионализм ее экспертов. Репутация – это важный инструмент, который продает услуги Общества. Необходимо тщательно относиться к выбору заказов, так как именно успешные кейсы, являются основным показателем профессионализма Общества. Внутренняя работа с сотрудниками, состоящая из обучения, мотивирования и прививания ценностей Общества – важная составляющая успешного продвижения Общества на внешний рынок.</w:t>
      </w:r>
    </w:p>
    <w:p w14:paraId="3DCA2B12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9.2. </w:t>
      </w: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Вывод:</w:t>
      </w:r>
    </w:p>
    <w:p w14:paraId="0FE315F4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- для выстраивания эффективных связей с потенциальным клиентом, необходимо на постоянной основе проводить анализ и исследование потребностей рынка;</w:t>
      </w:r>
    </w:p>
    <w:p w14:paraId="15CDDEE6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- необходимо наладить сбор данных с целью обработки и анализа информации.</w:t>
      </w:r>
    </w:p>
    <w:p w14:paraId="15ECEC4F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9.3. </w:t>
      </w:r>
      <w:r w:rsidRPr="00500087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Тактика личного контакта:</w:t>
      </w:r>
    </w:p>
    <w:p w14:paraId="3D32428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- выступления на конференциях, деловых мероприятиях являются не только одним из наиболее эффективных методов демонстрации компетентности, но и инструментом изучения клиента. Необходимо активнее участвовать в подобных мероприятиях, проводить постоянный мониторинг международных и региональных конференций по профильной тематике, отказываясь от пассивной позиции, когда специалисты компании выступают только на тех конференциях, на которые их приглашают сами организаторы.</w:t>
      </w:r>
    </w:p>
    <w:p w14:paraId="4C2E245B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Еще один действенный инструмент. К косвенным тактикам позиционирования бренда относятся инструменты, которые не требуют личного взаимодействия с клиентом – это публикации в СМИ, реклама (наружная и интернет-реклама), имиджевая продукция.</w:t>
      </w:r>
    </w:p>
    <w:p w14:paraId="21359A91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9.3.1.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Работа со СМИ</w:t>
      </w:r>
    </w:p>
    <w:p w14:paraId="2077688C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Традиционные (печатные и электронные СМИ) остаются основным каналом взаимодействия с большинством ЦА. Для выстраивания эффективных коммуникаций необходимо поддерживать постоянное взаимодействие, для которого рекомендуется использование следующих инструментов:</w:t>
      </w:r>
    </w:p>
    <w:p w14:paraId="1FF27B5C" w14:textId="77777777" w:rsidR="00B35EB4" w:rsidRPr="00500087" w:rsidRDefault="00363FDA">
      <w:pPr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регулярная рассылка пресс-релизов по текущей деятельности и крупным корпоративным мероприятиям/событиям;</w:t>
      </w:r>
    </w:p>
    <w:p w14:paraId="34732A40" w14:textId="77777777" w:rsidR="00B35EB4" w:rsidRPr="00500087" w:rsidRDefault="00363FDA">
      <w:pPr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проведение пресс-конференций по актуальным и значимым информационным поводам;</w:t>
      </w:r>
    </w:p>
    <w:p w14:paraId="4128AB12" w14:textId="77777777" w:rsidR="00B35EB4" w:rsidRPr="00500087" w:rsidRDefault="00363F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организация пресс-туров для казахстанских и зарубежных СМИ;</w:t>
      </w:r>
    </w:p>
    <w:p w14:paraId="5037B8DD" w14:textId="77777777" w:rsidR="00B35EB4" w:rsidRPr="00500087" w:rsidRDefault="00363F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формирование постоянного пула СМИ Общества;</w:t>
      </w:r>
    </w:p>
    <w:p w14:paraId="04BBE2A3" w14:textId="77777777" w:rsidR="00B35EB4" w:rsidRPr="00500087" w:rsidRDefault="00363FDA">
      <w:pPr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проведение неформальных встреч для СМИ (пресс-завтраки, пресс-ланчи, День журналистики);</w:t>
      </w:r>
    </w:p>
    <w:p w14:paraId="36F22D5B" w14:textId="77777777" w:rsidR="00B35EB4" w:rsidRPr="00500087" w:rsidRDefault="00363FDA">
      <w:pPr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публикация эксклюзивных интервью в деловых и общественно-экономических изданиях и интернет-ресурсах;</w:t>
      </w:r>
    </w:p>
    <w:p w14:paraId="03C2C0FF" w14:textId="77777777" w:rsidR="00B35EB4" w:rsidRPr="00500087" w:rsidRDefault="00363FDA">
      <w:pPr>
        <w:numPr>
          <w:ilvl w:val="0"/>
          <w:numId w:val="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участие топ-менеджмента Общества в качестве экспертных спикеров на форумах, конгрессах и деловых мероприятиях;</w:t>
      </w:r>
    </w:p>
    <w:p w14:paraId="6172AE4F" w14:textId="77777777" w:rsidR="00B35EB4" w:rsidRPr="00500087" w:rsidRDefault="00363F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предоставление оперативных ответов на запросы СМИ;</w:t>
      </w:r>
    </w:p>
    <w:p w14:paraId="0795E4F8" w14:textId="77777777" w:rsidR="00B35EB4" w:rsidRPr="00500087" w:rsidRDefault="00363FDA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мониторинг и анализ публикаций об Обществе в СМИ.</w:t>
      </w:r>
    </w:p>
    <w:p w14:paraId="1C7DB086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Эффективной работе со СМИ предшествует разработка базового контента (информационные материалы), создание пула спикеров, в том числе из числа представителей руководства Общества.</w:t>
      </w:r>
    </w:p>
    <w:p w14:paraId="1CE9C186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9.3.2.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Реклама в интернете</w:t>
      </w:r>
    </w:p>
    <w:p w14:paraId="4EB1F809" w14:textId="77777777" w:rsidR="00B35EB4" w:rsidRPr="00500087" w:rsidRDefault="00363FDA">
      <w:pPr>
        <w:shd w:val="clear" w:color="FFFFFF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Реклама в интернете включает в себя размещение информации о сайте Общества в каталогах, регистрацию в поисковых системах и баннерную рекламу. Продвижение официального веб-сайта и аккаунтов Общества в социальных сетях. Обществу необходимо разместить ссылки на свой сайт в основных каталогах отраслевых и тематических сайтов. Ссылки должны быть расположены в рубриках, наиболее адекватно описывающих деятельность Общества. Учитывая, что Общество работает с иностранными клиентами, то англоязычная часть сайта должна быть хорошо проиндексирована в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Yahoo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Google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 учетом слова «Казахстан». Чаще всего баннерную рекламу, как канал, используют для построения охвата целевой аудитории, формирования/поддержания узнаваемости бренда. Преимуществом является широкий охват нужной аудитории и точность попадания в целевую аудиторию.</w:t>
      </w:r>
    </w:p>
    <w:p w14:paraId="1C85609E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9.3.3.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Социальные сети</w:t>
      </w:r>
    </w:p>
    <w:p w14:paraId="43D83DBA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Важным инструментом онлайн-коммуникации является постоянный мониторинг активности в социальных сетях, отслеживание тенденций. Популярность их постоянно растет. Также растет и аудитория социальных сетей. Увеличивается время, которое ЦА тратит, листая ленту. Данный вид канала помогает выстроить обратную связь с аудиторией, осуществлять продажи, наращивать узнаваемость бренда. Здесь могут быть сосредоточены такие сегменты аудитории, как потенциальные клиенты, конкуренты, инвесторы/партнеры, журналисты, сотрудники Общества.</w:t>
      </w:r>
    </w:p>
    <w:p w14:paraId="59C4E87A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9.3.4.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Веб-сайт</w:t>
      </w:r>
    </w:p>
    <w:p w14:paraId="72177D57" w14:textId="432FF1C6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Наиболее достоверным и содержательн</w:t>
      </w:r>
      <w:r w:rsidR="007431F5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ы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 источником информации о деятельности Общества является его официальный веб-сайт, поэтому необходимо регулярное обновление контента и его продвижение. Необходима более целенаправленная работа с веб-сайтом, предполагающая его раскрутку, </w:t>
      </w:r>
      <w:r w:rsidRPr="00500087">
        <w:rPr>
          <w:rFonts w:ascii="Times New Roman" w:eastAsia="Times New Roman" w:hAnsi="Times New Roman" w:cs="Times New Roman"/>
          <w:sz w:val="28"/>
          <w:szCs w:val="28"/>
        </w:rPr>
        <w:t>SEO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-продвижение и увеличение конверсии. Вовлечение – ключевой показатель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эффективности современного интернет-маркетинга. Этот элемент показывает степень заинтересованности пользователей веб-сайтом, с помощью которого можно определить востребованность деятельности Общества.</w:t>
      </w:r>
    </w:p>
    <w:p w14:paraId="0A305776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9.3.5.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Наружная реклама</w:t>
      </w:r>
    </w:p>
    <w:p w14:paraId="7B981039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Инструмент позиционирования бренда Общества для иностранных туристов, зарубежной бизнес-аудитории и гостей столицы.</w:t>
      </w:r>
    </w:p>
    <w:p w14:paraId="13B34A0E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9.3.6.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Мероприятия</w:t>
      </w:r>
    </w:p>
    <w:p w14:paraId="602CAB90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Проведение собственных мероприятий позволит Обществу получать доход, повысить узнаваемость, сформировать лояльность к деятельности/бренду. Мероприятия Общества, главным образом, нацелены на широкую аудиторию и призваны привлечь внимание местного населения к месту территории делового центра ЕХРО.</w:t>
      </w:r>
    </w:p>
    <w:p w14:paraId="2CBEA129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9.3.7.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Партнёрство с крупными компаниями и брендами</w:t>
      </w:r>
    </w:p>
    <w:p w14:paraId="28396050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>Кросс-маркетинг/совместные мероприятия, промоакции, тесное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информационное сотрудничество Общества с якорными арендаторами делового центра ЕХРО и другими крупными компаниями – это способ, направленный на обмен аудиториями, создание информационного повода и разделение затрат на маркетинг.</w:t>
      </w:r>
    </w:p>
    <w:p w14:paraId="3C309C4D" w14:textId="77777777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Cs/>
          <w:sz w:val="28"/>
          <w:szCs w:val="28"/>
          <w:lang w:val="ru-RU"/>
        </w:rPr>
        <w:t xml:space="preserve">9.4. 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Вывод:</w:t>
      </w:r>
    </w:p>
    <w:p w14:paraId="2FE91B80" w14:textId="4E468487" w:rsidR="00361B49" w:rsidRPr="00500087" w:rsidRDefault="00232F7A" w:rsidP="0036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Маркетинговая стратегия включает в себя 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не только </w:t>
      </w:r>
      <w:r w:rsidR="00361B49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создани</w:t>
      </w:r>
      <w:r w:rsidR="0063417D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="00361B49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узнаваемого бренда</w:t>
      </w:r>
      <w:r w:rsidR="00361B49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но и 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формирование позитивного </w:t>
      </w:r>
      <w:r w:rsidR="00361B49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имиджа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компании</w:t>
      </w:r>
      <w:r w:rsidR="00361B49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4D0382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основанного на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предоставлени</w:t>
      </w:r>
      <w:r w:rsidR="004D0382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 </w:t>
      </w:r>
      <w:r w:rsidR="00725CF3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качественных услуг и продуктов Общества</w:t>
      </w:r>
      <w:r w:rsidR="004D0382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в том числе предоставления пространства для организации и проведения выставок, конференций, ярмарок и других мероприятий, что способствует обмену знаний и опытом в различных отраслях.  </w:t>
      </w:r>
    </w:p>
    <w:p w14:paraId="1CD0DC10" w14:textId="028F1147" w:rsidR="00361B49" w:rsidRPr="00500087" w:rsidRDefault="00361B49" w:rsidP="00361B4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Ключевым элементом успешной маркетинговой стратегии должны быть эксперты и сотрудники, работающие в Обществе. Их репутация и компетенция в своей области деятельности должны стать центральными элементами бренда, транслирующимися через успешные кейсы-мероприятия, предоставление высококачественных услуг и уникальные продукты, выпускаемые под брендом Общества. Такой подход не только укрепит позиции Общества на рынке, но и создаст основу для долгосрочных отношений с</w:t>
      </w:r>
      <w:r w:rsidR="004D0382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о стейкхолдерами и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4D0382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потенциальными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клиентами,</w:t>
      </w:r>
      <w:r w:rsidR="004D0382"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500087">
        <w:rPr>
          <w:rFonts w:ascii="Times New Roman" w:eastAsia="Times New Roman" w:hAnsi="Times New Roman" w:cs="Times New Roman"/>
          <w:sz w:val="28"/>
          <w:szCs w:val="28"/>
          <w:lang w:val="ru-RU"/>
        </w:rPr>
        <w:t>основанных на доверии и взаимном уважении.</w:t>
      </w:r>
    </w:p>
    <w:p w14:paraId="13970E22" w14:textId="77777777" w:rsidR="00B35EB4" w:rsidRPr="00500087" w:rsidRDefault="00B35EB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2505EA4C" w14:textId="77777777" w:rsidR="00B35EB4" w:rsidRPr="00500087" w:rsidRDefault="00363FDA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/>
        </w:rPr>
      </w:pPr>
      <w:r w:rsidRPr="00500087">
        <w:rPr>
          <w:rFonts w:ascii="Times New Roman" w:eastAsia="Times New Roman" w:hAnsi="Times New Roman" w:cs="Times New Roman"/>
          <w:b/>
          <w:sz w:val="28"/>
          <w:szCs w:val="28"/>
        </w:rPr>
        <w:t>X</w:t>
      </w:r>
      <w:r w:rsidRPr="00500087">
        <w:rPr>
          <w:rFonts w:ascii="Times New Roman" w:eastAsia="Times New Roman" w:hAnsi="Times New Roman" w:cs="Times New Roman"/>
          <w:b/>
          <w:sz w:val="28"/>
          <w:szCs w:val="28"/>
          <w:lang w:val="ru-RU"/>
        </w:rPr>
        <w:t>. Заключительная часть</w:t>
      </w:r>
    </w:p>
    <w:p w14:paraId="6EFA2512" w14:textId="77777777" w:rsidR="00B35EB4" w:rsidRPr="00500087" w:rsidRDefault="00B35EB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</w:p>
    <w:p w14:paraId="0D6D1DFA" w14:textId="77777777" w:rsidR="00B35EB4" w:rsidRPr="00500087" w:rsidRDefault="00363FDA">
      <w:pPr>
        <w:widowControl w:val="0"/>
        <w:tabs>
          <w:tab w:val="left" w:pos="1006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US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 w:eastAsia="en-US"/>
        </w:rPr>
        <w:t>10. При возникновении ситуаций, неурегулированных настоящей Стратегией, Общество руководствуется нормами действующего законодательства Республики Казахстан, устава и другими внутренними нормативными документами Общества.</w:t>
      </w:r>
    </w:p>
    <w:p w14:paraId="2E23ABCE" w14:textId="77777777" w:rsidR="00B35EB4" w:rsidRPr="00500087" w:rsidRDefault="00363FDA">
      <w:pPr>
        <w:widowControl w:val="0"/>
        <w:numPr>
          <w:ilvl w:val="1"/>
          <w:numId w:val="10"/>
        </w:numPr>
        <w:tabs>
          <w:tab w:val="left" w:pos="1006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US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 w:eastAsia="en-US"/>
        </w:rPr>
        <w:t>Внесение изменений и дополнений в настоящую Стратегию производится в соответствие с внутренними нормативными документами Общества.</w:t>
      </w:r>
    </w:p>
    <w:p w14:paraId="2982C937" w14:textId="77777777" w:rsidR="00B35EB4" w:rsidRPr="00500087" w:rsidRDefault="00363FDA">
      <w:pPr>
        <w:widowControl w:val="0"/>
        <w:numPr>
          <w:ilvl w:val="1"/>
          <w:numId w:val="10"/>
        </w:numPr>
        <w:tabs>
          <w:tab w:val="left" w:pos="1006"/>
          <w:tab w:val="left" w:pos="1134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  <w:lang w:val="ru-RU" w:eastAsia="en-US"/>
        </w:rPr>
      </w:pPr>
      <w:r w:rsidRPr="00500087">
        <w:rPr>
          <w:rFonts w:ascii="Times New Roman" w:eastAsia="Times New Roman" w:hAnsi="Times New Roman" w:cs="Times New Roman"/>
          <w:sz w:val="28"/>
          <w:szCs w:val="28"/>
          <w:lang w:val="ru-RU" w:eastAsia="en-US"/>
        </w:rPr>
        <w:lastRenderedPageBreak/>
        <w:t>Если отдельные пункты настоящей Стратегии в результате изменения действующего законодательства Республики Казахстан, устава вступают с ними в противоречие, настоящая Стратегия применяется в той части, которая не противоречит действующему законодательству Республики Казахстан и уставу.</w:t>
      </w:r>
    </w:p>
    <w:p w14:paraId="196E127B" w14:textId="2145B2D6" w:rsidR="00B35EB4" w:rsidRPr="00500087" w:rsidRDefault="00363FDA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val="ru-RU" w:bidi="ru-RU"/>
        </w:rPr>
      </w:pPr>
      <w:r w:rsidRPr="00500087">
        <w:rPr>
          <w:rFonts w:ascii="Times New Roman" w:eastAsia="Arial Unicode MS" w:hAnsi="Times New Roman" w:cs="Times New Roman"/>
          <w:sz w:val="28"/>
          <w:szCs w:val="28"/>
          <w:lang w:val="ru-RU" w:bidi="ru-RU"/>
        </w:rPr>
        <w:t>10.1. Ответственность за исполнение настоящей Стратегии несет ответственное структурное подразделение, в функции которого вход</w:t>
      </w:r>
      <w:r w:rsidR="00500087" w:rsidRPr="00895687">
        <w:rPr>
          <w:rFonts w:ascii="Times New Roman" w:eastAsia="Arial Unicode MS" w:hAnsi="Times New Roman" w:cs="Times New Roman"/>
          <w:sz w:val="28"/>
          <w:szCs w:val="28"/>
          <w:lang w:val="ru-RU" w:bidi="ru-RU"/>
        </w:rPr>
        <w:t>я</w:t>
      </w:r>
      <w:r w:rsidRPr="00500087">
        <w:rPr>
          <w:rFonts w:ascii="Times New Roman" w:eastAsia="Arial Unicode MS" w:hAnsi="Times New Roman" w:cs="Times New Roman"/>
          <w:sz w:val="28"/>
          <w:szCs w:val="28"/>
          <w:lang w:val="ru-RU" w:bidi="ru-RU"/>
        </w:rPr>
        <w:t>т вопросы маркетинга.</w:t>
      </w:r>
    </w:p>
    <w:p w14:paraId="2010C7D8" w14:textId="77777777" w:rsidR="00231F32" w:rsidRPr="00500087" w:rsidRDefault="00231F32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val="ru-RU" w:bidi="ru-RU"/>
        </w:rPr>
      </w:pPr>
    </w:p>
    <w:p w14:paraId="351C16DA" w14:textId="77777777" w:rsidR="00231F32" w:rsidRPr="00500087" w:rsidRDefault="00231F32">
      <w:pPr>
        <w:spacing w:after="0" w:line="240" w:lineRule="auto"/>
        <w:ind w:firstLine="567"/>
        <w:jc w:val="both"/>
        <w:rPr>
          <w:rFonts w:ascii="Times New Roman" w:eastAsia="Arial Unicode MS" w:hAnsi="Times New Roman" w:cs="Times New Roman"/>
          <w:sz w:val="28"/>
          <w:szCs w:val="28"/>
          <w:lang w:val="ru-RU" w:bidi="ru-RU"/>
        </w:rPr>
      </w:pPr>
    </w:p>
    <w:p w14:paraId="28893188" w14:textId="2D5F75AD" w:rsidR="004D0382" w:rsidRPr="006E16E0" w:rsidRDefault="004D0382" w:rsidP="004D0382">
      <w:pPr>
        <w:spacing w:before="100" w:beforeAutospacing="1" w:after="100" w:afterAutospacing="1" w:line="360" w:lineRule="atLeast"/>
        <w:jc w:val="both"/>
        <w:rPr>
          <w:rFonts w:ascii="Arial" w:eastAsia="Times New Roman" w:hAnsi="Arial" w:cs="Arial"/>
          <w:b/>
          <w:sz w:val="21"/>
          <w:szCs w:val="21"/>
        </w:rPr>
      </w:pPr>
      <w:bookmarkStart w:id="1" w:name="_GoBack"/>
      <w:bookmarkEnd w:id="1"/>
    </w:p>
    <w:sectPr w:rsidR="004D0382" w:rsidRPr="006E16E0">
      <w:headerReference w:type="default" r:id="rId9"/>
      <w:pgSz w:w="11906" w:h="16838"/>
      <w:pgMar w:top="1440" w:right="849" w:bottom="1440" w:left="1440" w:header="708" w:footer="70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252BD" w14:textId="77777777" w:rsidR="003160C3" w:rsidRDefault="003160C3">
      <w:pPr>
        <w:spacing w:after="0" w:line="240" w:lineRule="auto"/>
      </w:pPr>
      <w:r>
        <w:separator/>
      </w:r>
    </w:p>
  </w:endnote>
  <w:endnote w:type="continuationSeparator" w:id="0">
    <w:p w14:paraId="21C576E5" w14:textId="77777777" w:rsidR="003160C3" w:rsidRDefault="00316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Malgun Gothic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B630F7" w14:textId="77777777" w:rsidR="003160C3" w:rsidRDefault="003160C3">
      <w:pPr>
        <w:spacing w:after="0" w:line="240" w:lineRule="auto"/>
      </w:pPr>
      <w:r>
        <w:separator/>
      </w:r>
    </w:p>
  </w:footnote>
  <w:footnote w:type="continuationSeparator" w:id="0">
    <w:p w14:paraId="247DD536" w14:textId="77777777" w:rsidR="003160C3" w:rsidRDefault="00316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89993629"/>
      <w:docPartObj>
        <w:docPartGallery w:val="Page Numbers (Top of Page)"/>
        <w:docPartUnique/>
      </w:docPartObj>
    </w:sdtPr>
    <w:sdtEndPr/>
    <w:sdtContent>
      <w:p w14:paraId="4208DDAF" w14:textId="28835F46" w:rsidR="00B35EB4" w:rsidRDefault="00363FDA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E0" w:rsidRPr="006E16E0">
          <w:rPr>
            <w:noProof/>
            <w:lang w:val="ru-RU"/>
          </w:rPr>
          <w:t>9</w:t>
        </w:r>
        <w:r>
          <w:fldChar w:fldCharType="end"/>
        </w:r>
      </w:p>
    </w:sdtContent>
  </w:sdt>
  <w:p w14:paraId="692D57FE" w14:textId="77777777" w:rsidR="00B35EB4" w:rsidRDefault="00B35EB4">
    <w:pPr>
      <w:pStyle w:val="af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D59A7"/>
    <w:multiLevelType w:val="hybridMultilevel"/>
    <w:tmpl w:val="277C463A"/>
    <w:lvl w:ilvl="0" w:tplc="8BB66938">
      <w:start w:val="1"/>
      <w:numFmt w:val="decimal"/>
      <w:lvlText w:val="%1."/>
      <w:lvlJc w:val="left"/>
      <w:pPr>
        <w:ind w:left="720" w:hanging="360"/>
      </w:pPr>
      <w:rPr>
        <w:highlight w:val="white"/>
      </w:rPr>
    </w:lvl>
    <w:lvl w:ilvl="1" w:tplc="1310CD26">
      <w:start w:val="1"/>
      <w:numFmt w:val="lowerLetter"/>
      <w:lvlText w:val="%2."/>
      <w:lvlJc w:val="left"/>
      <w:pPr>
        <w:ind w:left="1440" w:hanging="360"/>
      </w:pPr>
    </w:lvl>
    <w:lvl w:ilvl="2" w:tplc="D334255A">
      <w:start w:val="1"/>
      <w:numFmt w:val="lowerRoman"/>
      <w:lvlText w:val="%3."/>
      <w:lvlJc w:val="right"/>
      <w:pPr>
        <w:ind w:left="2160" w:hanging="180"/>
      </w:pPr>
    </w:lvl>
    <w:lvl w:ilvl="3" w:tplc="78AA9EC2">
      <w:start w:val="1"/>
      <w:numFmt w:val="decimal"/>
      <w:lvlText w:val="%4."/>
      <w:lvlJc w:val="left"/>
      <w:pPr>
        <w:ind w:left="2880" w:hanging="360"/>
      </w:pPr>
    </w:lvl>
    <w:lvl w:ilvl="4" w:tplc="252C4E5C">
      <w:start w:val="1"/>
      <w:numFmt w:val="lowerLetter"/>
      <w:lvlText w:val="%5."/>
      <w:lvlJc w:val="left"/>
      <w:pPr>
        <w:ind w:left="3600" w:hanging="360"/>
      </w:pPr>
    </w:lvl>
    <w:lvl w:ilvl="5" w:tplc="91C49D58">
      <w:start w:val="1"/>
      <w:numFmt w:val="lowerRoman"/>
      <w:lvlText w:val="%6."/>
      <w:lvlJc w:val="right"/>
      <w:pPr>
        <w:ind w:left="4320" w:hanging="180"/>
      </w:pPr>
    </w:lvl>
    <w:lvl w:ilvl="6" w:tplc="D206CEDE">
      <w:start w:val="1"/>
      <w:numFmt w:val="decimal"/>
      <w:lvlText w:val="%7."/>
      <w:lvlJc w:val="left"/>
      <w:pPr>
        <w:ind w:left="5040" w:hanging="360"/>
      </w:pPr>
    </w:lvl>
    <w:lvl w:ilvl="7" w:tplc="BE541F38">
      <w:start w:val="1"/>
      <w:numFmt w:val="lowerLetter"/>
      <w:lvlText w:val="%8."/>
      <w:lvlJc w:val="left"/>
      <w:pPr>
        <w:ind w:left="5760" w:hanging="360"/>
      </w:pPr>
    </w:lvl>
    <w:lvl w:ilvl="8" w:tplc="004CE22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F56031"/>
    <w:multiLevelType w:val="multilevel"/>
    <w:tmpl w:val="708ADD9E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color w:val="000000" w:themeColor="text1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0D7446BB"/>
    <w:multiLevelType w:val="hybridMultilevel"/>
    <w:tmpl w:val="4AA04B4E"/>
    <w:lvl w:ilvl="0" w:tplc="7EC6068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plc="9AC04976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plc="8D8E0D76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plc="B14EB3C4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plc="F392C3D6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plc="684A791C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plc="98FECE08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plc="B6E2A890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plc="34762544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400699A"/>
    <w:multiLevelType w:val="hybridMultilevel"/>
    <w:tmpl w:val="0B6EDE22"/>
    <w:lvl w:ilvl="0" w:tplc="5E5C65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194BDD6">
      <w:start w:val="1"/>
      <w:numFmt w:val="lowerLetter"/>
      <w:lvlText w:val="%2."/>
      <w:lvlJc w:val="left"/>
      <w:pPr>
        <w:ind w:left="1440" w:hanging="360"/>
      </w:pPr>
    </w:lvl>
    <w:lvl w:ilvl="2" w:tplc="61FA2836">
      <w:start w:val="1"/>
      <w:numFmt w:val="lowerRoman"/>
      <w:lvlText w:val="%3."/>
      <w:lvlJc w:val="right"/>
      <w:pPr>
        <w:ind w:left="2160" w:hanging="180"/>
      </w:pPr>
    </w:lvl>
    <w:lvl w:ilvl="3" w:tplc="1E7A93A2">
      <w:start w:val="1"/>
      <w:numFmt w:val="decimal"/>
      <w:lvlText w:val="%4."/>
      <w:lvlJc w:val="left"/>
      <w:pPr>
        <w:ind w:left="2880" w:hanging="360"/>
      </w:pPr>
    </w:lvl>
    <w:lvl w:ilvl="4" w:tplc="2F3EB868">
      <w:start w:val="1"/>
      <w:numFmt w:val="lowerLetter"/>
      <w:lvlText w:val="%5."/>
      <w:lvlJc w:val="left"/>
      <w:pPr>
        <w:ind w:left="3600" w:hanging="360"/>
      </w:pPr>
    </w:lvl>
    <w:lvl w:ilvl="5" w:tplc="DCEAC090">
      <w:start w:val="1"/>
      <w:numFmt w:val="lowerRoman"/>
      <w:lvlText w:val="%6."/>
      <w:lvlJc w:val="right"/>
      <w:pPr>
        <w:ind w:left="4320" w:hanging="180"/>
      </w:pPr>
    </w:lvl>
    <w:lvl w:ilvl="6" w:tplc="C7024AC8">
      <w:start w:val="1"/>
      <w:numFmt w:val="decimal"/>
      <w:lvlText w:val="%7."/>
      <w:lvlJc w:val="left"/>
      <w:pPr>
        <w:ind w:left="5040" w:hanging="360"/>
      </w:pPr>
    </w:lvl>
    <w:lvl w:ilvl="7" w:tplc="48EE612C">
      <w:start w:val="1"/>
      <w:numFmt w:val="lowerLetter"/>
      <w:lvlText w:val="%8."/>
      <w:lvlJc w:val="left"/>
      <w:pPr>
        <w:ind w:left="5760" w:hanging="360"/>
      </w:pPr>
    </w:lvl>
    <w:lvl w:ilvl="8" w:tplc="68261BB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A60BD"/>
    <w:multiLevelType w:val="hybridMultilevel"/>
    <w:tmpl w:val="1D0220D4"/>
    <w:lvl w:ilvl="0" w:tplc="ADCABB7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 w:tplc="1A5A762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6928A908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21DE8F9A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9C5E2892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BE5C5294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91C2423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72E4292E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311A1FE6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151F6F72"/>
    <w:multiLevelType w:val="hybridMultilevel"/>
    <w:tmpl w:val="5A3AF638"/>
    <w:lvl w:ilvl="0" w:tplc="551C7CFC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/>
      </w:rPr>
    </w:lvl>
    <w:lvl w:ilvl="1" w:tplc="42922E3E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 w:tplc="71D21758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 w:tplc="EB7812AA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 w:tplc="53C078F8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 w:tplc="43269788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 w:tplc="DF72A29E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 w:tplc="18F6F8C8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 w:tplc="D5EC7AA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785072F"/>
    <w:multiLevelType w:val="hybridMultilevel"/>
    <w:tmpl w:val="8698018C"/>
    <w:lvl w:ilvl="0" w:tplc="BB706CB6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plc="F0E64FC8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plc="0DD4034C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plc="E9A2817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plc="6AB4FA9C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plc="F598497C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plc="A50C2582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plc="3CDC5364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plc="AF865BA4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4AE15EF"/>
    <w:multiLevelType w:val="hybridMultilevel"/>
    <w:tmpl w:val="6596A9C4"/>
    <w:lvl w:ilvl="0" w:tplc="3DA420F6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 w:tplc="07525242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 w:tplc="0C544E38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 w:tplc="2EE6896E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 w:tplc="D95E9190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 w:tplc="B1E2CBC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 w:tplc="BD26CE8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 w:tplc="5050690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 w:tplc="7F16D8D0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1BC5C47"/>
    <w:multiLevelType w:val="hybridMultilevel"/>
    <w:tmpl w:val="8F369C5E"/>
    <w:lvl w:ilvl="0" w:tplc="2BDAAA9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 w:tplc="CCB24DF2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 w:tplc="96DAB33A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 w:tplc="5E1E12C4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 w:tplc="2E6091A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 w:tplc="602276C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 w:tplc="39608E14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 w:tplc="3C4C7B42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 w:tplc="EEBAE952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71A50B7B"/>
    <w:multiLevelType w:val="hybridMultilevel"/>
    <w:tmpl w:val="44DADB2E"/>
    <w:lvl w:ilvl="0" w:tplc="F05A4C1E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 w:tplc="892AA2F0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 w:tplc="487C5140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 w:tplc="9F3A254C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 w:tplc="476ED806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 w:tplc="D7DCCBC0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 w:tplc="1F926EAE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 w:tplc="952AFBB6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 w:tplc="3C3A013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7CA639DD"/>
    <w:multiLevelType w:val="hybridMultilevel"/>
    <w:tmpl w:val="1FFA0B1C"/>
    <w:lvl w:ilvl="0" w:tplc="6B3A211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/>
      </w:rPr>
    </w:lvl>
    <w:lvl w:ilvl="1" w:tplc="EF66C95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8AAA1D5E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27B01864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F9667E0C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EF1CB24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D84420A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E9A27AA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FB4DC0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0"/>
  </w:num>
  <w:num w:numId="5">
    <w:abstractNumId w:val="9"/>
  </w:num>
  <w:num w:numId="6">
    <w:abstractNumId w:val="7"/>
  </w:num>
  <w:num w:numId="7">
    <w:abstractNumId w:val="6"/>
  </w:num>
  <w:num w:numId="8">
    <w:abstractNumId w:val="8"/>
  </w:num>
  <w:num w:numId="9">
    <w:abstractNumId w:val="0"/>
  </w:num>
  <w:num w:numId="10">
    <w:abstractNumId w:val="3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EB4"/>
    <w:rsid w:val="00050582"/>
    <w:rsid w:val="000A5BF6"/>
    <w:rsid w:val="001045FF"/>
    <w:rsid w:val="001301A7"/>
    <w:rsid w:val="001C1C4B"/>
    <w:rsid w:val="001C25C2"/>
    <w:rsid w:val="001D3338"/>
    <w:rsid w:val="001F47C3"/>
    <w:rsid w:val="00231F32"/>
    <w:rsid w:val="00232F7A"/>
    <w:rsid w:val="00254388"/>
    <w:rsid w:val="00264740"/>
    <w:rsid w:val="002B04BC"/>
    <w:rsid w:val="003160C3"/>
    <w:rsid w:val="00326ACC"/>
    <w:rsid w:val="003365D7"/>
    <w:rsid w:val="003505FD"/>
    <w:rsid w:val="00361B49"/>
    <w:rsid w:val="00363FDA"/>
    <w:rsid w:val="003A6927"/>
    <w:rsid w:val="00465DB3"/>
    <w:rsid w:val="004B7A7A"/>
    <w:rsid w:val="004D0382"/>
    <w:rsid w:val="00500087"/>
    <w:rsid w:val="005169A9"/>
    <w:rsid w:val="00541C46"/>
    <w:rsid w:val="00596AC4"/>
    <w:rsid w:val="0063417D"/>
    <w:rsid w:val="0064632E"/>
    <w:rsid w:val="006E16E0"/>
    <w:rsid w:val="007143A7"/>
    <w:rsid w:val="00717B23"/>
    <w:rsid w:val="00725CF3"/>
    <w:rsid w:val="00730FB4"/>
    <w:rsid w:val="007431F5"/>
    <w:rsid w:val="007C1E08"/>
    <w:rsid w:val="007C233C"/>
    <w:rsid w:val="007D44FD"/>
    <w:rsid w:val="00866369"/>
    <w:rsid w:val="00875351"/>
    <w:rsid w:val="00884433"/>
    <w:rsid w:val="00895687"/>
    <w:rsid w:val="008956DA"/>
    <w:rsid w:val="008967B5"/>
    <w:rsid w:val="009C3581"/>
    <w:rsid w:val="00B3563C"/>
    <w:rsid w:val="00B35EB4"/>
    <w:rsid w:val="00BD5D80"/>
    <w:rsid w:val="00BE63BE"/>
    <w:rsid w:val="00C1020B"/>
    <w:rsid w:val="00C24877"/>
    <w:rsid w:val="00D11579"/>
    <w:rsid w:val="00D25BB8"/>
    <w:rsid w:val="00D65714"/>
    <w:rsid w:val="00DB6FFE"/>
    <w:rsid w:val="00DE45AF"/>
    <w:rsid w:val="00E459D4"/>
    <w:rsid w:val="00E56380"/>
    <w:rsid w:val="00E6038D"/>
    <w:rsid w:val="00EA7BE2"/>
    <w:rsid w:val="00FA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9C477"/>
  <w15:docId w15:val="{3B983B28-AFEB-4AAD-934A-651B9C68F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FootnoteTextChar">
    <w:name w:val="Footnote Text Char"/>
    <w:uiPriority w:val="99"/>
    <w:rPr>
      <w:sz w:val="18"/>
    </w:rPr>
  </w:style>
  <w:style w:type="character" w:customStyle="1" w:styleId="EndnoteTextChar">
    <w:name w:val="Endnote Text Char"/>
    <w:uiPriority w:val="99"/>
    <w:rPr>
      <w:sz w:val="20"/>
    </w:r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a4">
    <w:name w:val="Заголовок Знак"/>
    <w:basedOn w:val="a0"/>
    <w:link w:val="a5"/>
    <w:uiPriority w:val="10"/>
    <w:rPr>
      <w:sz w:val="48"/>
      <w:szCs w:val="48"/>
    </w:rPr>
  </w:style>
  <w:style w:type="character" w:customStyle="1" w:styleId="a6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tblPr/>
      <w:tcPr>
        <w:shd w:val="clear" w:color="F2F2F2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fill="D8E2F3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537DC8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3F3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3F3" w:fill="DAE3F3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5B9BD5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fill="000000" w:themeFill="text1"/>
      </w:tcPr>
    </w:tblStylePr>
    <w:tblStylePr w:type="band1Vert">
      <w:tblPr/>
      <w:tcPr>
        <w:shd w:val="clear" w:color="8A8A8A" w:fill="8A8A8A" w:themeFill="text1" w:themeFillTint="75"/>
      </w:tcPr>
    </w:tblStylePr>
    <w:tblStylePr w:type="band1Horz">
      <w:tblPr/>
      <w:tcPr>
        <w:shd w:val="clear" w:color="8A8A8A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fill="4472C4" w:themeFill="accent1"/>
      </w:tcPr>
    </w:tblStylePr>
    <w:tblStylePr w:type="band1Vert">
      <w:tblPr/>
      <w:tcPr>
        <w:shd w:val="clear" w:color="A9BEE4" w:fill="A9BEE4" w:themeFill="accent1" w:themeFillTint="75"/>
      </w:tcPr>
    </w:tblStylePr>
    <w:tblStylePr w:type="band1Horz">
      <w:tblPr/>
      <w:tcPr>
        <w:shd w:val="clear" w:color="A9BEE4" w:fill="A9BEE4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fill="ED7D31" w:themeFill="accent2"/>
      </w:tcPr>
    </w:tblStylePr>
    <w:tblStylePr w:type="band1Vert">
      <w:tblPr/>
      <w:tcPr>
        <w:shd w:val="clear" w:color="F6C3A0" w:fill="F6C3A0" w:themeFill="accent2" w:themeFillTint="75"/>
      </w:tcPr>
    </w:tblStylePr>
    <w:tblStylePr w:type="band1Horz">
      <w:tblPr/>
      <w:tcPr>
        <w:shd w:val="clear" w:color="F6C3A0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fill="A5A5A5" w:themeFill="accent3"/>
      </w:tcPr>
    </w:tblStylePr>
    <w:tblStylePr w:type="band1Vert">
      <w:tblPr/>
      <w:tcPr>
        <w:shd w:val="clear" w:color="D5D5D5" w:fill="D5D5D5" w:themeFill="accent3" w:themeFillTint="75"/>
      </w:tcPr>
    </w:tblStylePr>
    <w:tblStylePr w:type="band1Horz">
      <w:tblPr/>
      <w:tcPr>
        <w:shd w:val="clear" w:color="D5D5D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fill="FFC000" w:themeFill="accent4"/>
      </w:tcPr>
    </w:tblStylePr>
    <w:tblStylePr w:type="band1Vert">
      <w:tblPr/>
      <w:tcPr>
        <w:shd w:val="clear" w:color="FFE28A" w:fill="FFE28A" w:themeFill="accent4" w:themeFillTint="75"/>
      </w:tcPr>
    </w:tblStylePr>
    <w:tblStylePr w:type="band1Horz">
      <w:tblPr/>
      <w:tcPr>
        <w:shd w:val="clear" w:color="FFE28A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fill="5B9BD5" w:themeFill="accent5"/>
      </w:tcPr>
    </w:tblStylePr>
    <w:tblStylePr w:type="band1Vert">
      <w:tblPr/>
      <w:tcPr>
        <w:shd w:val="clear" w:color="B3D0EB" w:fill="B3D0EB" w:themeFill="accent5" w:themeFillTint="75"/>
      </w:tcPr>
    </w:tblStylePr>
    <w:tblStylePr w:type="band1Horz">
      <w:tblPr/>
      <w:tcPr>
        <w:shd w:val="clear" w:color="B3D0EB" w:fill="B3D0EB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fill="70AD47" w:themeFill="accent6"/>
      </w:tcPr>
    </w:tblStylePr>
    <w:tblStylePr w:type="band1Vert">
      <w:tblPr/>
      <w:tcPr>
        <w:shd w:val="clear" w:color="BCDBA8" w:fill="BCDBA8" w:themeFill="accent6" w:themeFillTint="75"/>
      </w:tcPr>
    </w:tblStylePr>
    <w:tblStylePr w:type="band1Horz">
      <w:tblPr/>
      <w:tcPr>
        <w:shd w:val="clear" w:color="BCDBA8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D8E2F3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2F2F2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0B7E1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0B7E1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0B7E1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D8E2F3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D8E2F3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2C6E7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2C6E7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0" w:space="0" w:color="auto"/>
          <w:left w:val="single" w:sz="4" w:space="0" w:color="A2C6E7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DDEAF6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tblPr/>
      <w:tcPr>
        <w:shd w:val="clear" w:color="BFBFBF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fill="CFDBF0" w:themeFill="accent1" w:themeFillTint="40"/>
      </w:tcPr>
    </w:tblStylePr>
    <w:tblStylePr w:type="band1Horz">
      <w:tblPr/>
      <w:tcPr>
        <w:shd w:val="clear" w:color="CFDBF0" w:fill="CFDBF0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tblPr/>
      <w:tcPr>
        <w:shd w:val="clear" w:color="FADECB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tblPr/>
      <w:tcPr>
        <w:shd w:val="clear" w:color="E8E8E8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tblPr/>
      <w:tcPr>
        <w:shd w:val="clear" w:color="FFEFBF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 w:themeFill="accent5" w:themeFillTint="40"/>
      </w:tcPr>
    </w:tblStylePr>
    <w:tblStylePr w:type="band1Horz">
      <w:tblPr/>
      <w:tcPr>
        <w:shd w:val="clear" w:color="D5E5F4" w:fill="D5E5F4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tblPr/>
      <w:tcPr>
        <w:shd w:val="clear" w:color="DAEBCF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C2E5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fill="CFDBF0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fill="D5E5F4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4472C4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4472C4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472C4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472C4" w:fill="4472C4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9BC2E5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9BC2E5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BC2E5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BC2E5" w:fill="9BC2E5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CFDBF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D5E5F4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472C4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472C4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0" w:space="0" w:color="auto"/>
          <w:left w:val="single" w:sz="4" w:space="0" w:color="4472C4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CFDBF0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CFDBF0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ADECB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E8E8E8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EFBF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BC2E5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BC2E5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BC2E5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D5E5F4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D5E5F4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DAEBCF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37DC8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4D2EC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4D2EC" w:fill="C4D2EC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B9BD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DEAF6" w:fill="DDEAF6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b">
    <w:name w:val="Hyperlink"/>
    <w:uiPriority w:val="99"/>
    <w:unhideWhenUsed/>
    <w:rPr>
      <w:color w:val="0563C1" w:themeColor="hyperlink"/>
      <w:u w:val="single"/>
    </w:rPr>
  </w:style>
  <w:style w:type="paragraph" w:styleId="ac">
    <w:name w:val="footnote text"/>
    <w:basedOn w:val="a"/>
    <w:link w:val="ad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d">
    <w:name w:val="Текст сноски Знак"/>
    <w:link w:val="ac"/>
    <w:uiPriority w:val="99"/>
    <w:rPr>
      <w:sz w:val="18"/>
    </w:rPr>
  </w:style>
  <w:style w:type="character" w:styleId="ae">
    <w:name w:val="footnote reference"/>
    <w:basedOn w:val="a0"/>
    <w:uiPriority w:val="99"/>
    <w:unhideWhenUsed/>
    <w:rPr>
      <w:vertAlign w:val="superscript"/>
    </w:rPr>
  </w:style>
  <w:style w:type="paragraph" w:styleId="af">
    <w:name w:val="endnote text"/>
    <w:basedOn w:val="a"/>
    <w:link w:val="af0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0">
    <w:name w:val="Текст концевой сноски Знак"/>
    <w:link w:val="af"/>
    <w:uiPriority w:val="99"/>
    <w:rPr>
      <w:sz w:val="20"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2">
    <w:name w:val="TOC Heading"/>
    <w:uiPriority w:val="39"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paragraph" w:styleId="af4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" w:eastAsia="MS Mincho" w:hAnsi="Times" w:cs="Times New Roman"/>
      <w:sz w:val="20"/>
      <w:szCs w:val="20"/>
      <w:lang w:val="ru-RU"/>
    </w:rPr>
  </w:style>
  <w:style w:type="table" w:styleId="af5">
    <w:name w:val="Table Grid"/>
    <w:basedOn w:val="a1"/>
    <w:uiPriority w:val="3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7">
    <w:name w:val="Subtitle"/>
    <w:basedOn w:val="a"/>
    <w:next w:val="a"/>
    <w:link w:val="a6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1">
    <w:name w:val="StGen1"/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StGen2">
    <w:name w:val="StGen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6">
    <w:name w:val="header"/>
    <w:basedOn w:val="a"/>
    <w:link w:val="af7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  <w:style w:type="paragraph" w:styleId="afa">
    <w:name w:val="Balloon Text"/>
    <w:basedOn w:val="a"/>
    <w:link w:val="afb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  <w:style w:type="paragraph" w:styleId="afc">
    <w:name w:val="Revision"/>
    <w:hidden/>
    <w:uiPriority w:val="99"/>
    <w:semiHidden/>
    <w:pPr>
      <w:spacing w:after="0" w:line="240" w:lineRule="auto"/>
    </w:pPr>
  </w:style>
  <w:style w:type="character" w:styleId="afd">
    <w:name w:val="Strong"/>
    <w:basedOn w:val="a0"/>
    <w:uiPriority w:val="22"/>
    <w:qFormat/>
    <w:rsid w:val="00231F32"/>
    <w:rPr>
      <w:b/>
      <w:bCs/>
    </w:rPr>
  </w:style>
  <w:style w:type="character" w:styleId="afe">
    <w:name w:val="Emphasis"/>
    <w:basedOn w:val="a0"/>
    <w:uiPriority w:val="20"/>
    <w:qFormat/>
    <w:rsid w:val="0064632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9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2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.zakon.kz/Document/?doc_id=101070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35CF7-9AF6-4B68-9873-F099D6CE4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3400</Words>
  <Characters>19385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Азель Кусаинова</dc:creator>
  <cp:lastModifiedBy>Әсем Дарменова</cp:lastModifiedBy>
  <cp:revision>7</cp:revision>
  <cp:lastPrinted>2024-01-05T05:39:00Z</cp:lastPrinted>
  <dcterms:created xsi:type="dcterms:W3CDTF">2024-01-24T11:51:00Z</dcterms:created>
  <dcterms:modified xsi:type="dcterms:W3CDTF">2024-02-01T12:34:00Z</dcterms:modified>
</cp:coreProperties>
</file>